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2E0B">
            <w:pPr>
              <w:pStyle w:val="a5"/>
              <w:shd w:val="clear" w:color="auto" w:fill="auto"/>
              <w:jc w:val="both"/>
            </w:pPr>
            <w:r>
              <w:t xml:space="preserve"> </w:t>
            </w:r>
            <w:r w:rsidR="00CC3CEE"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5CA3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proofErr w:type="spellEnd"/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6446D" w:rsidRDefault="00A245A1">
            <w:pPr>
              <w:pStyle w:val="a5"/>
              <w:shd w:val="clear" w:color="auto" w:fill="auto"/>
              <w:spacing w:line="259" w:lineRule="auto"/>
              <w:rPr>
                <w:lang w:val="en-US"/>
              </w:rPr>
            </w:pPr>
            <w:r w:rsidRPr="00EC3266">
              <w:t xml:space="preserve">Запрос котировок в электронной форме </w:t>
            </w:r>
            <w:r w:rsidR="00154777">
              <w:t>на о</w:t>
            </w:r>
            <w:r w:rsidR="00154777" w:rsidRPr="00154777">
              <w:t xml:space="preserve">казание услуг </w:t>
            </w:r>
            <w:r w:rsidR="005D5788" w:rsidRPr="005D5788">
              <w:t>по празднично-тематическому оформлению территории городского округа Чехов к празднованию "Дня защитника Отечества", "Международного женского дня", "Дня Космонавтики"</w:t>
            </w:r>
            <w:r w:rsidR="0096446D">
              <w:rPr>
                <w:lang w:val="en-US"/>
              </w:rPr>
              <w:t>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5D5788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5D5788">
              <w:t>Оказание услуг по празднично-тематическому оформлению территории городского округа Чехов к празднованию "Дня защитника Отечества", "Международного женского дня", "Дня Космонавтики"</w:t>
            </w:r>
            <w:r w:rsidR="00406C7F">
              <w:rPr>
                <w:lang w:val="en-US"/>
              </w:rPr>
              <w:t>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A12844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600</w:t>
            </w:r>
            <w:r w:rsidR="00151A42" w:rsidRPr="00151A42">
              <w:t xml:space="preserve"> </w:t>
            </w:r>
            <w:r w:rsidR="005D5788" w:rsidRPr="005D5788">
              <w:t>000</w:t>
            </w:r>
            <w:r w:rsidR="00151A42" w:rsidRPr="00151A42">
              <w:t>,00 (</w:t>
            </w:r>
            <w:r>
              <w:t>Шестьсот</w:t>
            </w:r>
            <w:r w:rsidR="00151A42" w:rsidRPr="00151A42">
              <w:t xml:space="preserve"> тысяч) рублей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75CEC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B78C0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CA2BAB">
              <w:rPr>
                <w:highlight w:val="lightGray"/>
              </w:rPr>
              <w:t>01</w:t>
            </w:r>
            <w:r w:rsidRPr="00AB0973">
              <w:rPr>
                <w:highlight w:val="lightGray"/>
              </w:rPr>
              <w:t xml:space="preserve">» </w:t>
            </w:r>
            <w:r w:rsidR="00CA2BAB">
              <w:rPr>
                <w:highlight w:val="lightGray"/>
              </w:rPr>
              <w:t>февраля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534D54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года</w:t>
            </w:r>
          </w:p>
        </w:tc>
      </w:tr>
      <w:tr w:rsidR="00A245A1" w:rsidRPr="009B6B80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39433C">
              <w:rPr>
                <w:highlight w:val="lightGray"/>
              </w:rPr>
              <w:t>0</w:t>
            </w:r>
            <w:r w:rsidR="00CA2BAB">
              <w:rPr>
                <w:highlight w:val="lightGray"/>
              </w:rPr>
              <w:t>8</w:t>
            </w:r>
            <w:r w:rsidRPr="00AB0973">
              <w:rPr>
                <w:highlight w:val="lightGray"/>
              </w:rPr>
              <w:t xml:space="preserve">» </w:t>
            </w:r>
            <w:r w:rsidR="0039433C">
              <w:rPr>
                <w:highlight w:val="lightGray"/>
              </w:rPr>
              <w:t>февраля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534D54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75CEC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jc w:val="both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39433C">
              <w:rPr>
                <w:highlight w:val="lightGray"/>
              </w:rPr>
              <w:t>0</w:t>
            </w:r>
            <w:r w:rsidR="00CA2BAB">
              <w:rPr>
                <w:highlight w:val="lightGray"/>
              </w:rPr>
              <w:t>8</w:t>
            </w:r>
            <w:r w:rsidRPr="00AB0973">
              <w:rPr>
                <w:highlight w:val="lightGray"/>
              </w:rPr>
              <w:t xml:space="preserve">» </w:t>
            </w:r>
            <w:r w:rsidR="0039433C">
              <w:rPr>
                <w:highlight w:val="lightGray"/>
              </w:rPr>
              <w:t>февраля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534D54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39433C">
              <w:rPr>
                <w:highlight w:val="lightGray"/>
              </w:rPr>
              <w:t>0</w:t>
            </w:r>
            <w:r w:rsidR="00CA2BAB">
              <w:rPr>
                <w:highlight w:val="lightGray"/>
              </w:rPr>
              <w:t>8</w:t>
            </w:r>
            <w:bookmarkStart w:id="1" w:name="_GoBack"/>
            <w:bookmarkEnd w:id="1"/>
            <w:r w:rsidRPr="00AB0973">
              <w:rPr>
                <w:highlight w:val="lightGray"/>
              </w:rPr>
              <w:t xml:space="preserve">» </w:t>
            </w:r>
            <w:r w:rsidR="0039433C">
              <w:rPr>
                <w:highlight w:val="lightGray"/>
              </w:rPr>
              <w:t>февраля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534D54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Отказ от проведения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>
            <w:pPr>
              <w:pStyle w:val="a5"/>
              <w:shd w:val="clear" w:color="auto" w:fill="auto"/>
              <w:spacing w:line="264" w:lineRule="auto"/>
            </w:pPr>
            <w:r w:rsidRPr="009B6B80">
              <w:t>Заказчик вправе отказаться от его проведения по одному и более лоту. Извещение об отказе от проведения запроса котировок размещается в единой информационной системе не позднее чем за 1 (Один) день до даты окончания срока подачи заявок на участие в запросе котировок в порядке, установленном для размещения в единой информационной системе извещения о проведении запроса котировок.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CA3" w:rsidRDefault="008C5CA3">
      <w:r>
        <w:separator/>
      </w:r>
    </w:p>
  </w:endnote>
  <w:endnote w:type="continuationSeparator" w:id="0">
    <w:p w:rsidR="008C5CA3" w:rsidRDefault="008C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CA3" w:rsidRDefault="008C5CA3"/>
  </w:footnote>
  <w:footnote w:type="continuationSeparator" w:id="0">
    <w:p w:rsidR="008C5CA3" w:rsidRDefault="008C5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4A"/>
    <w:rsid w:val="000315BD"/>
    <w:rsid w:val="00067486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51A42"/>
    <w:rsid w:val="00154777"/>
    <w:rsid w:val="00182312"/>
    <w:rsid w:val="001B4D7F"/>
    <w:rsid w:val="001F5B9B"/>
    <w:rsid w:val="00213021"/>
    <w:rsid w:val="00225CC2"/>
    <w:rsid w:val="00231E7B"/>
    <w:rsid w:val="0024634A"/>
    <w:rsid w:val="00255B22"/>
    <w:rsid w:val="00257FDE"/>
    <w:rsid w:val="00262A66"/>
    <w:rsid w:val="00264FD0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9433C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34D54"/>
    <w:rsid w:val="005433AA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40E35"/>
    <w:rsid w:val="0065439A"/>
    <w:rsid w:val="00660B00"/>
    <w:rsid w:val="00663058"/>
    <w:rsid w:val="006E13AA"/>
    <w:rsid w:val="006F6559"/>
    <w:rsid w:val="007118B1"/>
    <w:rsid w:val="0072310E"/>
    <w:rsid w:val="007261C3"/>
    <w:rsid w:val="0073344C"/>
    <w:rsid w:val="00737261"/>
    <w:rsid w:val="007534F0"/>
    <w:rsid w:val="00786E67"/>
    <w:rsid w:val="00796858"/>
    <w:rsid w:val="007A74DC"/>
    <w:rsid w:val="007B0ABD"/>
    <w:rsid w:val="007E0A92"/>
    <w:rsid w:val="007E5B52"/>
    <w:rsid w:val="007E67DA"/>
    <w:rsid w:val="00802BFB"/>
    <w:rsid w:val="00805D9C"/>
    <w:rsid w:val="00807159"/>
    <w:rsid w:val="008161F4"/>
    <w:rsid w:val="00824379"/>
    <w:rsid w:val="00835A34"/>
    <w:rsid w:val="00847396"/>
    <w:rsid w:val="00857960"/>
    <w:rsid w:val="0086137E"/>
    <w:rsid w:val="0086607F"/>
    <w:rsid w:val="00885A07"/>
    <w:rsid w:val="00887EA4"/>
    <w:rsid w:val="008920B2"/>
    <w:rsid w:val="008B4089"/>
    <w:rsid w:val="008C2E0B"/>
    <w:rsid w:val="008C4438"/>
    <w:rsid w:val="008C5CA3"/>
    <w:rsid w:val="008C7638"/>
    <w:rsid w:val="008D4667"/>
    <w:rsid w:val="008E0183"/>
    <w:rsid w:val="008E688B"/>
    <w:rsid w:val="008F296F"/>
    <w:rsid w:val="00917E21"/>
    <w:rsid w:val="00931F73"/>
    <w:rsid w:val="00961652"/>
    <w:rsid w:val="0096446D"/>
    <w:rsid w:val="0097463E"/>
    <w:rsid w:val="00986A76"/>
    <w:rsid w:val="009B6B80"/>
    <w:rsid w:val="00A12844"/>
    <w:rsid w:val="00A245A1"/>
    <w:rsid w:val="00A60687"/>
    <w:rsid w:val="00A70766"/>
    <w:rsid w:val="00A831DB"/>
    <w:rsid w:val="00AA3816"/>
    <w:rsid w:val="00AA4D5C"/>
    <w:rsid w:val="00AB0973"/>
    <w:rsid w:val="00AB254A"/>
    <w:rsid w:val="00AE0943"/>
    <w:rsid w:val="00B01E96"/>
    <w:rsid w:val="00B31DC5"/>
    <w:rsid w:val="00B5511D"/>
    <w:rsid w:val="00B63DF3"/>
    <w:rsid w:val="00B934F8"/>
    <w:rsid w:val="00B96718"/>
    <w:rsid w:val="00BB1506"/>
    <w:rsid w:val="00BB68DD"/>
    <w:rsid w:val="00BE7AD0"/>
    <w:rsid w:val="00BF1BC2"/>
    <w:rsid w:val="00BF41EA"/>
    <w:rsid w:val="00C20308"/>
    <w:rsid w:val="00C42253"/>
    <w:rsid w:val="00C50F28"/>
    <w:rsid w:val="00C7196B"/>
    <w:rsid w:val="00C73D63"/>
    <w:rsid w:val="00C74331"/>
    <w:rsid w:val="00C74963"/>
    <w:rsid w:val="00C75CEC"/>
    <w:rsid w:val="00C95786"/>
    <w:rsid w:val="00CA0AA6"/>
    <w:rsid w:val="00CA2BAB"/>
    <w:rsid w:val="00CB3C67"/>
    <w:rsid w:val="00CB78C0"/>
    <w:rsid w:val="00CC3CEE"/>
    <w:rsid w:val="00D058C5"/>
    <w:rsid w:val="00D120A0"/>
    <w:rsid w:val="00D25B59"/>
    <w:rsid w:val="00D6140E"/>
    <w:rsid w:val="00D82317"/>
    <w:rsid w:val="00D91D76"/>
    <w:rsid w:val="00DE00DE"/>
    <w:rsid w:val="00DF0748"/>
    <w:rsid w:val="00E05C6C"/>
    <w:rsid w:val="00E05C97"/>
    <w:rsid w:val="00E13CA9"/>
    <w:rsid w:val="00E25550"/>
    <w:rsid w:val="00E560B4"/>
    <w:rsid w:val="00E71FA7"/>
    <w:rsid w:val="00E8372C"/>
    <w:rsid w:val="00E841C9"/>
    <w:rsid w:val="00E862EE"/>
    <w:rsid w:val="00EC3266"/>
    <w:rsid w:val="00EF6DC0"/>
    <w:rsid w:val="00F15F0A"/>
    <w:rsid w:val="00F43FE4"/>
    <w:rsid w:val="00F51FA1"/>
    <w:rsid w:val="00F76702"/>
    <w:rsid w:val="00F96CE2"/>
    <w:rsid w:val="00FB0411"/>
    <w:rsid w:val="00FB1617"/>
    <w:rsid w:val="00FB4DA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4354B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  <w:style w:type="character" w:styleId="ae">
    <w:name w:val="Intense Emphasis"/>
    <w:basedOn w:val="a0"/>
    <w:uiPriority w:val="21"/>
    <w:qFormat/>
    <w:rsid w:val="00534D5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5411-F6B6-4110-810D-0ED15D2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60</cp:revision>
  <dcterms:created xsi:type="dcterms:W3CDTF">2019-07-22T08:34:00Z</dcterms:created>
  <dcterms:modified xsi:type="dcterms:W3CDTF">2021-01-25T07:46:00Z</dcterms:modified>
</cp:coreProperties>
</file>