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01.13.04.11.02.08.01</w:t>
            </w:r>
            <w:r w:rsidR="00B924CB">
              <w:rPr>
                <w:b/>
              </w:rPr>
              <w:t xml:space="preserve"> / </w:t>
            </w:r>
            <w:r w:rsidR="00B924CB">
              <w:t>10.71.11.111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Батон «Нарезной»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1 860,00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01.13.04.11.01.01.01</w:t>
            </w:r>
            <w:r w:rsidR="00B924CB">
              <w:rPr>
                <w:b/>
              </w:rPr>
              <w:t xml:space="preserve"> / </w:t>
            </w:r>
            <w:r w:rsidR="00B924CB">
              <w:t>10.71.11.112</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Хлеб «Дарницкий»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760,00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хлебобулочных изделий</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Третья сторона</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Батон «Нарезной»</w:t>
            </w:r>
            <w:r w:rsidR="00473384">
              <w:rPr>
                <w:lang w:val="en-US"/>
              </w:rPr>
              <w:t xml:space="preserve">; </w:t>
            </w:r>
            <w:r w:rsidR="00473384">
              <w:rPr>
                <w:lang w:val="en-US"/>
              </w:rPr>
              <w:t>1 860,00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Хлеб «Дарницкий»</w:t>
            </w:r>
            <w:r w:rsidR="00473384">
              <w:rPr>
                <w:lang w:val="en-US"/>
              </w:rPr>
              <w:t xml:space="preserve">; </w:t>
            </w:r>
            <w:r w:rsidR="00473384">
              <w:rPr>
                <w:lang w:val="en-US"/>
              </w:rPr>
              <w:t>760,00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01.09.2021</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хлебобулочных изделий)</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хлебобулочных изделий</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хлебобулочных изделий</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хлебобулочных изделий</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хлебобулочных изделий</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090751-21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