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01.21.01.05.04.10123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r w:rsidR="00965BE7">
              <w:rPr>
                <w:sz w:val="18"/>
                <w:szCs w:val="18"/>
              </w:rPr>
              <w:t xml:space="preserve"> </w:t>
            </w:r>
            <w:r w:rsidRPr="00652325" w:rsidR="00965BE7">
              <w:rPr>
                <w:sz w:val="18"/>
                <w:szCs w:val="18"/>
              </w:rPr>
              <w:t xml:space="preserve">/ </w:t>
            </w:r>
            <w:r w:rsidRPr="002E25F2" w:rsidR="00965BE7">
              <w:rPr>
                <w:sz w:val="18"/>
                <w:szCs w:val="18"/>
              </w:rPr>
              <w:t>Содержание гемоглобина в ретикулоците ИВД, сортировка флуоресцентно-активированных клеток/проточная цитометрия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реагентов для биохимического анализатора Super GL и Furuno</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19 839,45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41 920,42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15 391,14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59 204,16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188 058,33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11 936,69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29 374,80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101 496,12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9 115,50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62 698,45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34 870,14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16 235,16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59 236,02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9 406,86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3 187,62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134 431,53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73 627,82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286 762,70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34 782,24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941,65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7 773,06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8 717,92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7 714,10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38 428,55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12 577,39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350 312,16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5 474,68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87 825,90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50 501,05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272 337,75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136 908,17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85 696,56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23 538,20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51 315,00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50 693,50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50 686,15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6 556,26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24 966,20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9 809,25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167 648,76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Содержание гемоглобина в ретикулоците ИВД, сортировка флуоресцентно-активированных клеток/проточная цитометрия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21 899,36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реагентов для биохимического анализатора Super GL и Furuno</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для биохимического анализатора Super GL и Furuno)</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реагентов для биохимического анализатора Super GL и Furuno</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реагентов для биохимического анализатора Super GL и Furuno</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реагентов для биохимического анализатора Super GL и Furuno</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реагентов для биохимического анализатора Super GL и Furuno</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реагентов для биохимического анализатора Super GL и Furuno</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112059-22</w:t>
    </w:r>
  </w:p>
  <w:p w:rsidR="00A30271" w:rsidRDefault="00A30271"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