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01.21.01.16.14.221</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энтерального питания, для взрослых/педиатрический, стерильный</w:t>
            </w:r>
            <w:r w:rsidR="00965BE7">
              <w:rPr>
                <w:sz w:val="18"/>
                <w:szCs w:val="18"/>
              </w:rPr>
              <w:t xml:space="preserve"> </w:t>
            </w:r>
            <w:r w:rsidRPr="00652325" w:rsidR="00965BE7">
              <w:rPr>
                <w:sz w:val="18"/>
                <w:szCs w:val="18"/>
              </w:rPr>
              <w:t xml:space="preserve">/ </w:t>
            </w:r>
            <w:r w:rsidRPr="002E25F2" w:rsidR="00965BE7">
              <w:rPr>
                <w:sz w:val="18"/>
                <w:szCs w:val="18"/>
              </w:rPr>
              <w:t>Набор для энтерального питания, для взрослых/педиатрический, стерильный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энтерального питания</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41 186,50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74 828,00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3 716,16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53 291,00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30 104,00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269 440,00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52 049,20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30 811,00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18 942,50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97 915,50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179 444,00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энтерального питания, для взрослых/педиатрический, стерильный</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154 686,00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энтерального питания</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энтерального питания)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энтерального питания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энтерального питания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энтерального питания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111349-22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