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109918-22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(Лекарственные средства для нужд отделения анестезиологии и реанимации)</w:t>
      </w:r>
    </w:p>
    <w:p w:rsidR="007C3BF1" w:rsidRDefault="0068700B">
      <w:pPr>
        <w:ind w:left="1418"/>
      </w:pPr>
      <w:r w:rsidR="008C2287">
        <w:t xml:space="preserve">Цена </w:t>
      </w:r>
      <w:r w:rsidR="008C2287">
        <w:t>договора</w:t>
      </w:r>
      <w:r w:rsidR="008C2287">
        <w:t>, руб.:</w:t>
      </w:r>
      <w:r w:rsidR="001406FC">
        <w:t xml:space="preserve"> </w:t>
      </w:r>
      <w:r w:rsidR="008C2287">
        <w:t>144 201,30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01.21.02.10.01.02.02.05.01.01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Ропивакаин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01.21.02.10.01.02.02.05.01.01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Ропивакаин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01.21.02.10.01.02.02.05.01.01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Ропивакаин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отделения анестезиологии и реанимации))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