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«18» апреля 2022г.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Выполнение монтажных работ по установке систем пожарной сигнализации и установок пожаротушения зданий музея</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2022</w:t>
      </w:r>
    </w:p>
    <w:p w14:paraId="1185DC4A" w14:textId="77777777" w:rsidR="00A530A9" w:rsidRDefault="00A530A9">
      <w:pPr>
        <w:rPr>
          <w:rFonts w:ascii="Times New Roman" w:hAnsi="Times New Roman" w:cs="Times New Roman"/>
          <w:color w:val="auto"/>
          <w:lang w:val="en-US"/>
        </w:rPr>
      </w:pPr>
      <w:r>
        <w:rPr>
          <w:lang w:val="en-US"/>
        </w:rPr>
        <w:lastRenderedPageBreak/>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w:t>
      </w:r>
      <w:r w:rsidRPr="00FF3CC3">
        <w:rPr>
          <w:rFonts w:ascii="Times New Roman" w:hAnsi="Times New Roman" w:cs="Times New Roman"/>
          <w:sz w:val="28"/>
          <w:szCs w:val="28"/>
        </w:rPr>
        <w:lastRenderedPageBreak/>
        <w:t>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w:t>
      </w:r>
      <w:r w:rsidRPr="00353AF1">
        <w:rPr>
          <w:rFonts w:ascii="Times New Roman" w:hAnsi="Times New Roman" w:cs="Times New Roman"/>
          <w:sz w:val="28"/>
          <w:szCs w:val="28"/>
        </w:rPr>
        <w:lastRenderedPageBreak/>
        <w:t>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lastRenderedPageBreak/>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w:t>
      </w:r>
      <w:r w:rsidRPr="00A13E5A">
        <w:rPr>
          <w:rFonts w:ascii="Times New Roman" w:hAnsi="Times New Roman" w:cs="Times New Roman"/>
          <w:sz w:val="28"/>
          <w:szCs w:val="28"/>
        </w:rPr>
        <w:lastRenderedPageBreak/>
        <w:t xml:space="preserve">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w:t>
      </w:r>
      <w:r w:rsidRPr="006518D6">
        <w:rPr>
          <w:rFonts w:ascii="Times New Roman" w:hAnsi="Times New Roman"/>
          <w:color w:val="000000"/>
          <w:sz w:val="28"/>
          <w:szCs w:val="28"/>
        </w:rPr>
        <w:lastRenderedPageBreak/>
        <w:t>документации,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w:t>
      </w:r>
      <w:r w:rsidRPr="00A13E5A">
        <w:rPr>
          <w:rFonts w:eastAsiaTheme="minorHAnsi"/>
          <w:sz w:val="28"/>
          <w:shd w:val="clear" w:color="auto" w:fill="FFFFFF" w:themeFill="background1"/>
        </w:rPr>
        <w:lastRenderedPageBreak/>
        <w:t xml:space="preserve">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w:t>
      </w:r>
      <w:r w:rsidRPr="006518D6">
        <w:rPr>
          <w:rFonts w:ascii="Times New Roman" w:eastAsia="Times New Roman" w:hAnsi="Times New Roman" w:cs="Times New Roman"/>
          <w:color w:val="auto"/>
          <w:sz w:val="28"/>
          <w:szCs w:val="28"/>
        </w:rPr>
        <w:lastRenderedPageBreak/>
        <w:t>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 xml:space="preserve">о </w:t>
      </w:r>
      <w:proofErr w:type="gramStart"/>
      <w:r w:rsidRPr="006518D6">
        <w:rPr>
          <w:rFonts w:ascii="Times New Roman" w:hAnsi="Times New Roman" w:cs="Times New Roman"/>
          <w:sz w:val="28"/>
          <w:szCs w:val="28"/>
        </w:rPr>
        <w:t>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Яковлев Сергей Сергеевич</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8C5B39">
              <w:rPr>
                <w:rFonts w:ascii="Times New Roman" w:hAnsi="Times New Roman" w:cs="Times New Roman"/>
                <w:color w:val="auto"/>
              </w:rPr>
              <w:t>Выполнение монтажных работ по установке систем пожарной сигнализации и установок пожаротушения зданий музея</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работы</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w:t>
            </w:r>
            <w:r w:rsidR="00A03ACF">
              <w:rPr>
                <w:rFonts w:ascii="Times New Roman" w:hAnsi="Times New Roman" w:cs="Times New Roman"/>
                <w:color w:val="auto"/>
              </w:rPr>
              <w:lastRenderedPageBreak/>
              <w:t xml:space="preserve">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310 000 (триста десять тысяч)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8C5B39">
              <w:rPr>
                <w:rFonts w:ascii="Times New Roman" w:hAnsi="Times New Roman" w:cs="Times New Roman"/>
                <w:color w:val="auto"/>
              </w:rPr>
              <w:t>2022 - Средства бюджета Московской области</w:t>
            </w:r>
            <w:r w:rsidRPr="008C5B39">
              <w:rPr>
                <w:rFonts w:ascii="Times New Roman" w:hAnsi="Times New Roman" w:cs="Times New Roman"/>
                <w:color w:val="auto"/>
              </w:rPr>
              <w:br/>
            </w:r>
            <w:r w:rsidRPr="008C5B39">
              <w:rPr>
                <w:rFonts w:ascii="Times New Roman" w:hAnsi="Times New Roman" w:cs="Times New Roman"/>
                <w:color w:val="auto"/>
              </w:rPr>
              <w:br/>
              <w:t>КБК: 018-0000-0000000000-244, 310</w:t>
            </w:r>
            <w:r w:rsidRPr="00401DFB">
              <w:rPr>
                <w:rFonts w:ascii="Times New Roman" w:hAnsi="Times New Roman" w:cs="Times New Roman"/>
                <w:color w:val="auto"/>
                <w:lang w:val="en-US"/>
              </w:rPr>
              <w:t> </w:t>
            </w:r>
            <w:r w:rsidRPr="008C5B39">
              <w:rPr>
                <w:rFonts w:ascii="Times New Roman" w:hAnsi="Times New Roman" w:cs="Times New Roman"/>
                <w:color w:val="auto"/>
              </w:rPr>
              <w:t>000 рублей 00 копеек</w:t>
            </w:r>
            <w:r w:rsidRPr="008C5B39">
              <w:rPr>
                <w:rFonts w:ascii="Times New Roman" w:hAnsi="Times New Roman" w:cs="Times New Roman"/>
                <w:color w:val="auto"/>
              </w:rPr>
              <w:br/>
            </w:r>
            <w:r w:rsidRPr="008C5B39">
              <w:rPr>
                <w:rFonts w:ascii="Times New Roman" w:hAnsi="Times New Roman" w:cs="Times New Roman"/>
                <w:color w:val="auto"/>
              </w:rPr>
              <w:lastRenderedPageBreak/>
              <w:br/>
              <w:t>ОКПД</w:t>
            </w:r>
            <w:proofErr w:type="gramStart"/>
            <w:r w:rsidRPr="008C5B39">
              <w:rPr>
                <w:rFonts w:ascii="Times New Roman" w:hAnsi="Times New Roman" w:cs="Times New Roman"/>
                <w:color w:val="auto"/>
              </w:rPr>
              <w:t>2</w:t>
            </w:r>
            <w:proofErr w:type="gramEnd"/>
            <w:r w:rsidRPr="008C5B39">
              <w:rPr>
                <w:rFonts w:ascii="Times New Roman" w:hAnsi="Times New Roman" w:cs="Times New Roman"/>
                <w:color w:val="auto"/>
              </w:rPr>
              <w:t>: 43.21.10.120 Работы электромонтажные, связанные с установкой приборов;</w:t>
            </w:r>
            <w:r w:rsidRPr="008C5B39">
              <w:rPr>
                <w:rFonts w:ascii="Times New Roman" w:hAnsi="Times New Roman" w:cs="Times New Roman"/>
                <w:color w:val="auto"/>
              </w:rPr>
              <w:br/>
            </w:r>
            <w:r w:rsidRPr="008C5B39">
              <w:rPr>
                <w:rFonts w:ascii="Times New Roman" w:hAnsi="Times New Roman" w:cs="Times New Roman"/>
                <w:color w:val="auto"/>
              </w:rPr>
              <w:br/>
              <w:t>ОКВЭД2: 43.21 Производство электромонтажных работ;</w:t>
            </w:r>
            <w:r w:rsidRPr="008C5B39">
              <w:rPr>
                <w:rFonts w:ascii="Times New Roman" w:hAnsi="Times New Roman" w:cs="Times New Roman"/>
                <w:color w:val="auto"/>
              </w:rPr>
              <w:br/>
            </w:r>
            <w:r w:rsidRPr="008C5B39">
              <w:rPr>
                <w:rFonts w:ascii="Times New Roman" w:hAnsi="Times New Roman" w:cs="Times New Roman"/>
                <w:color w:val="auto"/>
              </w:rPr>
              <w:br/>
              <w:t>Код КОЗ: 03.24.01.01.02.10.06.03.27 Специальные работы в рамках реконструкции электромонтажные, связанные с установкой приборов;</w:t>
            </w:r>
            <w:r w:rsidRPr="008C5B39">
              <w:rPr>
                <w:rFonts w:ascii="Times New Roman" w:hAnsi="Times New Roman" w:cs="Times New Roman"/>
                <w:color w:val="auto"/>
              </w:rPr>
              <w:br/>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C5B39">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AF775D" w:rsidRPr="008C5B39">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8C5B39">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8C5B39">
              <w:rPr>
                <w:color w:val="00000A"/>
              </w:rPr>
              <w:t>выполнение работ</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DB30916" w14:textId="306D98C6" w:rsidR="00B61CF4" w:rsidRPr="00156F9C" w:rsidRDefault="00B61CF4" w:rsidP="008C5B39">
            <w:pPr>
              <w:pStyle w:val="af9"/>
              <w:ind w:left="0" w:firstLine="362"/>
              <w:jc w:val="both"/>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выполнения работы</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03912BC" w14:textId="77777777" w:rsidR="008C5B39"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978741B" w14:textId="77777777" w:rsidR="008C5B39" w:rsidRPr="0069451E" w:rsidRDefault="008C5B39" w:rsidP="008C5B39">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 заявке должна содержаться информация об оборудовании и материалах </w:t>
            </w:r>
            <w:proofErr w:type="gramStart"/>
            <w:r>
              <w:rPr>
                <w:rFonts w:ascii="Times New Roman" w:eastAsia="Arial Unicode MS" w:hAnsi="Times New Roman" w:cs="Times New Roman"/>
                <w:sz w:val="24"/>
                <w:szCs w:val="24"/>
              </w:rPr>
              <w:t>согласно</w:t>
            </w:r>
            <w:proofErr w:type="gramEnd"/>
            <w:r>
              <w:rPr>
                <w:rFonts w:ascii="Times New Roman" w:eastAsia="Arial Unicode MS" w:hAnsi="Times New Roman" w:cs="Times New Roman"/>
                <w:sz w:val="24"/>
                <w:szCs w:val="24"/>
              </w:rPr>
              <w:t xml:space="preserve"> приведённой таблицы № 2.1 Технического задания.</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bookmarkStart w:id="385" w:name="_GoBack"/>
            <w:bookmarkEnd w:id="385"/>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lastRenderedPageBreak/>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w:t>
            </w:r>
            <w:r w:rsidRPr="0069451E">
              <w:rPr>
                <w:rFonts w:ascii="Times New Roman" w:eastAsia="Arial Unicode MS" w:hAnsi="Times New Roman" w:cs="Times New Roman"/>
                <w:sz w:val="24"/>
                <w:szCs w:val="24"/>
              </w:rPr>
              <w:lastRenderedPageBreak/>
              <w:t xml:space="preserve">на </w:t>
            </w:r>
            <w:r w:rsidR="00BA7432" w:rsidRPr="008C5B39">
              <w:rPr>
                <w:rFonts w:ascii="Times New Roman" w:eastAsia="Arial Unicode MS" w:hAnsi="Times New Roman" w:cs="Times New Roman"/>
                <w:sz w:val="24"/>
                <w:szCs w:val="24"/>
              </w:rPr>
              <w:t>выполнение работ</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w:t>
            </w:r>
            <w:proofErr w:type="gramEnd"/>
            <w:r w:rsidRPr="0069451E">
              <w:rPr>
                <w:rFonts w:ascii="Times New Roman" w:eastAsia="Arial Unicode MS" w:hAnsi="Times New Roman" w:cs="Times New Roman"/>
                <w:sz w:val="24"/>
                <w:szCs w:val="24"/>
              </w:rPr>
              <w:t>, либо письмо о том, что сделка не является сделкой, требующей решения об одобрении ил</w:t>
            </w:r>
            <w:proofErr w:type="gramStart"/>
            <w:r w:rsidRPr="0069451E">
              <w:rPr>
                <w:rFonts w:ascii="Times New Roman" w:eastAsia="Arial Unicode MS" w:hAnsi="Times New Roman" w:cs="Times New Roman"/>
                <w:sz w:val="24"/>
                <w:szCs w:val="24"/>
              </w:rPr>
              <w:t>и о ее</w:t>
            </w:r>
            <w:proofErr w:type="gramEnd"/>
            <w:r w:rsidRPr="0069451E">
              <w:rPr>
                <w:rFonts w:ascii="Times New Roman" w:eastAsia="Arial Unicode MS" w:hAnsi="Times New Roman" w:cs="Times New Roman"/>
                <w:sz w:val="24"/>
                <w:szCs w:val="24"/>
              </w:rPr>
              <w:t xml:space="preserve">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8C5B39" w:rsidRDefault="000B5827" w:rsidP="000B5827">
            <w:pPr>
              <w:rPr>
                <w:rFonts w:ascii="Times New Roman" w:hAnsi="Times New Roman" w:cs="Times New Roman"/>
                <w:color w:val="00000A"/>
              </w:rPr>
            </w:pPr>
            <w:r w:rsidRPr="008C5B39">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8C5B39" w:rsidRDefault="000B5827" w:rsidP="002660A1">
            <w:pPr>
              <w:pStyle w:val="1"/>
              <w:spacing w:before="0" w:after="0"/>
              <w:jc w:val="both"/>
              <w:rPr>
                <w:b w:val="0"/>
                <w:color w:val="000000" w:themeColor="text1"/>
                <w:sz w:val="24"/>
                <w:szCs w:val="24"/>
              </w:rPr>
            </w:pPr>
            <w:r w:rsidRPr="008C5B39">
              <w:rPr>
                <w:b w:val="0"/>
                <w:sz w:val="24"/>
                <w:szCs w:val="24"/>
              </w:rPr>
              <w:t xml:space="preserve">В соответствии с разделом 12 части </w:t>
            </w:r>
            <w:r>
              <w:rPr>
                <w:b w:val="0"/>
                <w:sz w:val="24"/>
                <w:szCs w:val="24"/>
                <w:lang w:val="en-US"/>
              </w:rPr>
              <w:t>II</w:t>
            </w:r>
            <w:r w:rsidRPr="008C5B39">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«18» апреля 2022</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«25» апреля 2022 в 11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«18»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«28» апреля 2022 в 11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w:t>
            </w:r>
            <w:r w:rsidRPr="0069451E">
              <w:rPr>
                <w:rFonts w:ascii="Times New Roman" w:hAnsi="Times New Roman" w:cs="Times New Roman"/>
                <w:color w:val="auto"/>
              </w:rPr>
              <w:lastRenderedPageBreak/>
              <w:t>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«28» апреля 2022</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w:t>
            </w:r>
            <w:r w:rsidRPr="0069451E">
              <w:rPr>
                <w:rFonts w:ascii="Times New Roman" w:eastAsia="Times New Roman" w:hAnsi="Times New Roman" w:cs="Times New Roman"/>
                <w:color w:val="auto"/>
              </w:rPr>
              <w:lastRenderedPageBreak/>
              <w:t xml:space="preserve">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«28» апреля 2022</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«28» апреля 2022</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«28» апреля 2022</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«29» апреля 2022</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 xml:space="preserve">Размер обеспечения </w:t>
            </w:r>
            <w:r w:rsidRPr="0063669B">
              <w:rPr>
                <w:rFonts w:ascii="Times New Roman" w:eastAsia="Times New Roman" w:hAnsi="Times New Roman" w:cs="Times New Roman"/>
                <w:color w:val="00000A"/>
              </w:rPr>
              <w:lastRenderedPageBreak/>
              <w:t>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lastRenderedPageBreak/>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Не предусмотрена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5"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5"/>
      <w:r w:rsidR="00E44519" w:rsidRPr="008C5B39">
        <w:rPr>
          <w:color w:val="000000" w:themeColor="text1"/>
          <w:szCs w:val="28"/>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9"/>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6404D" w14:textId="77777777" w:rsidR="001B7082" w:rsidRDefault="001B708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C5B39">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B39"/>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9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0C1A-7F24-4039-8FCB-68F92915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4007</TotalTime>
  <Pages>35</Pages>
  <Words>9128</Words>
  <Characters>63446</Characters>
  <Application>Microsoft Office Word</Application>
  <DocSecurity>0</DocSecurity>
  <Lines>528</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72430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297</cp:revision>
  <cp:lastPrinted>2020-02-21T12:46:00Z</cp:lastPrinted>
  <dcterms:created xsi:type="dcterms:W3CDTF">2020-05-22T15:38:00Z</dcterms:created>
  <dcterms:modified xsi:type="dcterms:W3CDTF">2022-04-18T10:07:00Z</dcterms:modified>
</cp:coreProperties>
</file>