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224AFF"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02.26.06.01</w:t>
            </w:r>
            <w:r w:rsidR="005E1E29">
              <w:rPr>
                <w:b/>
              </w:rPr>
              <w:t xml:space="preserve"> / </w:t>
            </w:r>
            <w:r w:rsidR="005E1E29">
              <w:t>33.12.29.900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техническому обслуживанию и ремонту систем пожаротушения</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224AFF"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224AFF"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224AFF"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Услуги по техническому обслуживанию и ремонту систем пожаротушения</w:t>
            </w:r>
            <w:r w:rsidRPr="00D55812" w:rsidR="00E870E6">
              <w:rPr>
                <w:lang w:val="en-US"/>
              </w:rPr>
              <w:t xml:space="preserve">; </w:t>
            </w:r>
            <w:r w:rsidRPr="00D55812" w:rsidR="00E870E6">
              <w:rPr>
                <w:lang w:val="en-US"/>
              </w:rPr>
              <w:t>11,00</w:t>
            </w:r>
            <w:r w:rsidRPr="00D55812" w:rsidR="00E870E6">
              <w:rPr>
                <w:lang w:val="en-US"/>
              </w:rPr>
              <w:t xml:space="preserve">; </w:t>
            </w:r>
            <w:r w:rsidRPr="00D55812" w:rsidR="00E870E6">
              <w:rPr>
                <w:lang w:val="en-US"/>
              </w:rPr>
              <w:t>Месяц</w:t>
            </w:r>
            <w:r w:rsidRPr="00D55812" w:rsidR="00E870E6">
              <w:rPr>
                <w:lang w:val="en-US"/>
              </w:rPr>
              <w:t>;</w:t>
            </w:r>
            <w:r w:rsidR="00D55812">
              <w:rPr>
                <w:lang w:val="en-US"/>
              </w:rPr>
              <w:t xml:space="preserve"> </w:t>
            </w:r>
            <w:r w:rsidRPr="00D55812" w:rsidR="00D55812">
              <w:rPr>
                <w:lang w:val="en-US"/>
              </w:rPr>
              <w:t>236 500,00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01.01.2023 (МСК)</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технического обслуживания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технического обслуживания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002000-22</w:t>
    </w:r>
  </w:p>
  <w:p w:rsidR="00E870E6" w:rsidRDefault="00E870E6"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