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D401C" w14:textId="77777777" w:rsidR="00DC64E1" w:rsidRDefault="00DC64E1" w:rsidP="00C34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F14A6" w14:textId="466191A5" w:rsidR="00C34EA4" w:rsidRDefault="000163F7" w:rsidP="00C34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</w:p>
    <w:p w14:paraId="0B4592BC" w14:textId="38314603" w:rsidR="000163F7" w:rsidRDefault="000163F7" w:rsidP="00C34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оказание услуг по </w:t>
      </w:r>
      <w:r w:rsidR="002D16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 проектно-сметной документации на АПС</w:t>
      </w:r>
    </w:p>
    <w:p w14:paraId="2D7EAE80" w14:textId="05312B7F" w:rsidR="000163F7" w:rsidRDefault="000163F7" w:rsidP="00C34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E58E4" w14:textId="77777777" w:rsidR="00DC64E1" w:rsidRDefault="00DC64E1" w:rsidP="00C34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BA9D0" w14:textId="77777777" w:rsidR="000163F7" w:rsidRDefault="000163F7" w:rsidP="00016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6798"/>
      </w:tblGrid>
      <w:tr w:rsidR="000163F7" w14:paraId="49A2E294" w14:textId="77777777" w:rsidTr="000163F7">
        <w:tc>
          <w:tcPr>
            <w:tcW w:w="421" w:type="dxa"/>
            <w:vMerge w:val="restart"/>
          </w:tcPr>
          <w:p w14:paraId="43261A68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7CFCDD7" w14:textId="046E630C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6798" w:type="dxa"/>
          </w:tcPr>
          <w:p w14:paraId="6A188493" w14:textId="5053225A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Федерального закона «Технический регламент о требованиях пожарной безопасности» от 22.07.2008 №123-ФЗ</w:t>
            </w:r>
          </w:p>
        </w:tc>
      </w:tr>
      <w:tr w:rsidR="000163F7" w14:paraId="76DA4D9D" w14:textId="77777777" w:rsidTr="000163F7">
        <w:tc>
          <w:tcPr>
            <w:tcW w:w="421" w:type="dxa"/>
            <w:vMerge/>
          </w:tcPr>
          <w:p w14:paraId="7AB177D6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54F392B" w14:textId="6910AEBE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объекта</w:t>
            </w:r>
          </w:p>
        </w:tc>
        <w:tc>
          <w:tcPr>
            <w:tcW w:w="6798" w:type="dxa"/>
          </w:tcPr>
          <w:p w14:paraId="5169B685" w14:textId="0C5C9201" w:rsidR="005A6BD4" w:rsidRPr="005A6BD4" w:rsidRDefault="005A6BD4" w:rsidP="005A6BD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BD4">
              <w:rPr>
                <w:rFonts w:ascii="Times New Roman" w:eastAsia="Calibri" w:hAnsi="Times New Roman" w:cs="Times New Roman"/>
                <w:bCs/>
              </w:rPr>
              <w:t xml:space="preserve">Административно – управленческий аппарат 142800, Московская область, городской округ Ступино, </w:t>
            </w:r>
            <w:proofErr w:type="spellStart"/>
            <w:r w:rsidRPr="005A6BD4">
              <w:rPr>
                <w:rFonts w:ascii="Times New Roman" w:eastAsia="Calibri" w:hAnsi="Times New Roman" w:cs="Times New Roman"/>
                <w:bCs/>
              </w:rPr>
              <w:t>ул.Комсомольская</w:t>
            </w:r>
            <w:proofErr w:type="spellEnd"/>
            <w:r w:rsidRPr="005A6BD4">
              <w:rPr>
                <w:rFonts w:ascii="Times New Roman" w:eastAsia="Calibri" w:hAnsi="Times New Roman" w:cs="Times New Roman"/>
                <w:bCs/>
              </w:rPr>
              <w:t xml:space="preserve"> д.15</w:t>
            </w:r>
            <w:r w:rsidR="002D167B">
              <w:rPr>
                <w:rFonts w:ascii="Times New Roman" w:eastAsia="Calibri" w:hAnsi="Times New Roman" w:cs="Times New Roman"/>
                <w:bCs/>
              </w:rPr>
              <w:t xml:space="preserve"> – 1 здание</w:t>
            </w:r>
            <w:r w:rsidRPr="005A6BD4">
              <w:rPr>
                <w:rFonts w:ascii="Times New Roman" w:eastAsia="Calibri" w:hAnsi="Times New Roman" w:cs="Times New Roman"/>
                <w:bCs/>
              </w:rPr>
              <w:t xml:space="preserve">; </w:t>
            </w:r>
          </w:p>
          <w:p w14:paraId="18EED154" w14:textId="77EE7873" w:rsidR="005A6BD4" w:rsidRPr="005A6BD4" w:rsidRDefault="005A6BD4" w:rsidP="005A6BD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BD4">
              <w:rPr>
                <w:rFonts w:ascii="Times New Roman" w:eastAsia="Calibri" w:hAnsi="Times New Roman" w:cs="Times New Roman"/>
                <w:bCs/>
              </w:rPr>
              <w:t>Отделение дневного пребывания 142800, Московская область, городской округ Ступино, ул. Тургенева д.18/19</w:t>
            </w:r>
            <w:r w:rsidR="002D167B">
              <w:rPr>
                <w:rFonts w:ascii="Times New Roman" w:eastAsia="Calibri" w:hAnsi="Times New Roman" w:cs="Times New Roman"/>
                <w:bCs/>
              </w:rPr>
              <w:t xml:space="preserve"> – 1 здание</w:t>
            </w:r>
            <w:r w:rsidRPr="005A6BD4">
              <w:rPr>
                <w:rFonts w:ascii="Times New Roman" w:eastAsia="Calibri" w:hAnsi="Times New Roman" w:cs="Times New Roman"/>
                <w:bCs/>
              </w:rPr>
              <w:t>;</w:t>
            </w:r>
          </w:p>
          <w:p w14:paraId="3ADBD762" w14:textId="6D426CF9" w:rsidR="005A6BD4" w:rsidRPr="005A6BD4" w:rsidRDefault="005A6BD4" w:rsidP="005A6BD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Отделение срочного социального обслуживания </w:t>
            </w:r>
            <w:r w:rsidRPr="005A6BD4">
              <w:rPr>
                <w:rFonts w:ascii="Times New Roman" w:eastAsia="Calibri" w:hAnsi="Times New Roman" w:cs="Times New Roman"/>
                <w:bCs/>
              </w:rPr>
              <w:t>142800, Московская область, городской округ Ступино, ул. Проспект победы д.33а/54</w:t>
            </w:r>
            <w:r w:rsidR="002D167B">
              <w:rPr>
                <w:rFonts w:ascii="Times New Roman" w:eastAsia="Calibri" w:hAnsi="Times New Roman" w:cs="Times New Roman"/>
                <w:bCs/>
              </w:rPr>
              <w:t xml:space="preserve"> – 1 здание</w:t>
            </w:r>
            <w:r>
              <w:rPr>
                <w:rFonts w:ascii="Times New Roman" w:eastAsia="Calibri" w:hAnsi="Times New Roman" w:cs="Times New Roman"/>
                <w:bCs/>
              </w:rPr>
              <w:t>;</w:t>
            </w:r>
          </w:p>
          <w:p w14:paraId="3E2BDFE0" w14:textId="62267D93" w:rsidR="005A6BD4" w:rsidRPr="005A6BD4" w:rsidRDefault="005A6BD4" w:rsidP="005A6BD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Стационарное отделение «Дом – интернат малой вместимости для граждан пожилого возраста и инвалидов №2» </w:t>
            </w:r>
            <w:r w:rsidRPr="005A6BD4">
              <w:rPr>
                <w:rFonts w:ascii="Times New Roman" w:eastAsia="Calibri" w:hAnsi="Times New Roman" w:cs="Times New Roman"/>
                <w:bCs/>
              </w:rPr>
              <w:t xml:space="preserve">142845, Московская область, городской округ Ступино, </w:t>
            </w:r>
            <w:proofErr w:type="spellStart"/>
            <w:r w:rsidRPr="005A6BD4">
              <w:rPr>
                <w:rFonts w:ascii="Times New Roman" w:eastAsia="Calibri" w:hAnsi="Times New Roman" w:cs="Times New Roman"/>
                <w:bCs/>
              </w:rPr>
              <w:t>с.Хатунь</w:t>
            </w:r>
            <w:proofErr w:type="spellEnd"/>
            <w:r w:rsidRPr="005A6BD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5A6BD4">
              <w:rPr>
                <w:rFonts w:ascii="Times New Roman" w:eastAsia="Calibri" w:hAnsi="Times New Roman" w:cs="Times New Roman"/>
                <w:bCs/>
              </w:rPr>
              <w:t>ул.Рындина</w:t>
            </w:r>
            <w:proofErr w:type="spellEnd"/>
            <w:r w:rsidRPr="005A6BD4">
              <w:rPr>
                <w:rFonts w:ascii="Times New Roman" w:eastAsia="Calibri" w:hAnsi="Times New Roman" w:cs="Times New Roman"/>
                <w:bCs/>
              </w:rPr>
              <w:t>, д.46</w:t>
            </w:r>
            <w:r w:rsidR="002D167B">
              <w:rPr>
                <w:rFonts w:ascii="Times New Roman" w:eastAsia="Calibri" w:hAnsi="Times New Roman" w:cs="Times New Roman"/>
                <w:bCs/>
              </w:rPr>
              <w:t xml:space="preserve"> – 4 здания</w:t>
            </w:r>
            <w:r>
              <w:rPr>
                <w:rFonts w:ascii="Times New Roman" w:eastAsia="Calibri" w:hAnsi="Times New Roman" w:cs="Times New Roman"/>
                <w:bCs/>
              </w:rPr>
              <w:t>;</w:t>
            </w:r>
          </w:p>
          <w:p w14:paraId="57D0C0F0" w14:textId="24FC7A5F" w:rsidR="005A6BD4" w:rsidRPr="005A6BD4" w:rsidRDefault="005A6BD4" w:rsidP="005A6BD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Стационарное отделение социально – оздоровительной реабилитации «Сосновый бор» </w:t>
            </w:r>
            <w:r w:rsidRPr="005A6BD4">
              <w:rPr>
                <w:rFonts w:ascii="Times New Roman" w:eastAsia="Calibri" w:hAnsi="Times New Roman" w:cs="Times New Roman"/>
                <w:bCs/>
              </w:rPr>
              <w:t xml:space="preserve">142816, Московская область, городской округ Ступино, </w:t>
            </w:r>
            <w:proofErr w:type="spellStart"/>
            <w:r w:rsidRPr="005A6BD4">
              <w:rPr>
                <w:rFonts w:ascii="Times New Roman" w:eastAsia="Calibri" w:hAnsi="Times New Roman" w:cs="Times New Roman"/>
                <w:bCs/>
              </w:rPr>
              <w:t>д.Соколова</w:t>
            </w:r>
            <w:proofErr w:type="spellEnd"/>
            <w:r w:rsidRPr="005A6BD4">
              <w:rPr>
                <w:rFonts w:ascii="Times New Roman" w:eastAsia="Calibri" w:hAnsi="Times New Roman" w:cs="Times New Roman"/>
                <w:bCs/>
              </w:rPr>
              <w:t xml:space="preserve"> Пустынь</w:t>
            </w:r>
            <w:r w:rsidR="002D167B">
              <w:rPr>
                <w:rFonts w:ascii="Times New Roman" w:eastAsia="Calibri" w:hAnsi="Times New Roman" w:cs="Times New Roman"/>
                <w:bCs/>
              </w:rPr>
              <w:t xml:space="preserve"> – 15 зданий</w:t>
            </w:r>
            <w:r>
              <w:rPr>
                <w:rFonts w:ascii="Times New Roman" w:eastAsia="Calibri" w:hAnsi="Times New Roman" w:cs="Times New Roman"/>
                <w:bCs/>
              </w:rPr>
              <w:t>;</w:t>
            </w:r>
          </w:p>
          <w:p w14:paraId="45175CEE" w14:textId="00A253D1" w:rsidR="005A6BD4" w:rsidRPr="005A6BD4" w:rsidRDefault="005A6BD4" w:rsidP="005A6BD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Клуб «Активное долголетие» </w:t>
            </w:r>
            <w:r w:rsidRPr="005A6BD4">
              <w:rPr>
                <w:rFonts w:ascii="Times New Roman" w:eastAsia="Calibri" w:hAnsi="Times New Roman" w:cs="Times New Roman"/>
                <w:bCs/>
              </w:rPr>
              <w:t xml:space="preserve">142800, Московская область, городской округ Ступино, </w:t>
            </w:r>
            <w:proofErr w:type="spellStart"/>
            <w:r w:rsidRPr="005A6BD4">
              <w:rPr>
                <w:rFonts w:ascii="Times New Roman" w:eastAsia="Calibri" w:hAnsi="Times New Roman" w:cs="Times New Roman"/>
                <w:bCs/>
              </w:rPr>
              <w:t>ул.Калинина</w:t>
            </w:r>
            <w:proofErr w:type="spellEnd"/>
            <w:r w:rsidRPr="005A6BD4">
              <w:rPr>
                <w:rFonts w:ascii="Times New Roman" w:eastAsia="Calibri" w:hAnsi="Times New Roman" w:cs="Times New Roman"/>
                <w:bCs/>
              </w:rPr>
              <w:t xml:space="preserve"> д.14</w:t>
            </w:r>
            <w:r w:rsidR="002D167B">
              <w:rPr>
                <w:rFonts w:ascii="Times New Roman" w:eastAsia="Calibri" w:hAnsi="Times New Roman" w:cs="Times New Roman"/>
                <w:bCs/>
              </w:rPr>
              <w:t>- 1 здание;</w:t>
            </w:r>
          </w:p>
          <w:p w14:paraId="4B50D3CD" w14:textId="55333D07" w:rsidR="000163F7" w:rsidRPr="005A6BD4" w:rsidRDefault="005A6BD4" w:rsidP="005A6BD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Отделение «Детский оздоровительный лагерь «Лесная поляна» и отделение «Социально – оздоровительный центр «Озерки» </w:t>
            </w:r>
            <w:r w:rsidRPr="005A6BD4">
              <w:rPr>
                <w:rFonts w:ascii="Times New Roman" w:eastAsia="Calibri" w:hAnsi="Times New Roman" w:cs="Times New Roman"/>
                <w:bCs/>
              </w:rPr>
              <w:t xml:space="preserve">140560, Московская область, </w:t>
            </w:r>
            <w:proofErr w:type="spellStart"/>
            <w:r w:rsidRPr="005A6BD4">
              <w:rPr>
                <w:rFonts w:ascii="Times New Roman" w:eastAsia="Calibri" w:hAnsi="Times New Roman" w:cs="Times New Roman"/>
                <w:bCs/>
              </w:rPr>
              <w:t>г.о</w:t>
            </w:r>
            <w:proofErr w:type="spellEnd"/>
            <w:r w:rsidRPr="005A6BD4">
              <w:rPr>
                <w:rFonts w:ascii="Times New Roman" w:eastAsia="Calibri" w:hAnsi="Times New Roman" w:cs="Times New Roman"/>
                <w:bCs/>
              </w:rPr>
              <w:t xml:space="preserve">. Коломна </w:t>
            </w:r>
            <w:proofErr w:type="spellStart"/>
            <w:r w:rsidRPr="005A6BD4">
              <w:rPr>
                <w:rFonts w:ascii="Times New Roman" w:eastAsia="Calibri" w:hAnsi="Times New Roman" w:cs="Times New Roman"/>
                <w:bCs/>
              </w:rPr>
              <w:t>д.Тарбушево</w:t>
            </w:r>
            <w:proofErr w:type="spellEnd"/>
            <w:r w:rsidR="002D167B">
              <w:rPr>
                <w:rFonts w:ascii="Times New Roman" w:eastAsia="Calibri" w:hAnsi="Times New Roman" w:cs="Times New Roman"/>
                <w:bCs/>
              </w:rPr>
              <w:t xml:space="preserve">- </w:t>
            </w:r>
            <w:r w:rsidR="00311AD9">
              <w:rPr>
                <w:rFonts w:ascii="Times New Roman" w:eastAsia="Calibri" w:hAnsi="Times New Roman" w:cs="Times New Roman"/>
                <w:bCs/>
              </w:rPr>
              <w:t>14 зданий.</w:t>
            </w:r>
          </w:p>
        </w:tc>
      </w:tr>
      <w:tr w:rsidR="000163F7" w14:paraId="6D695C56" w14:textId="77777777" w:rsidTr="000163F7">
        <w:tc>
          <w:tcPr>
            <w:tcW w:w="421" w:type="dxa"/>
            <w:vMerge/>
          </w:tcPr>
          <w:p w14:paraId="67B9AD5E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93CD413" w14:textId="10D2146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6798" w:type="dxa"/>
          </w:tcPr>
          <w:p w14:paraId="0DA0D072" w14:textId="7CF06563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и рабочей документации</w:t>
            </w:r>
          </w:p>
        </w:tc>
      </w:tr>
      <w:tr w:rsidR="000163F7" w14:paraId="2784E20A" w14:textId="77777777" w:rsidTr="000163F7">
        <w:tc>
          <w:tcPr>
            <w:tcW w:w="421" w:type="dxa"/>
            <w:vMerge/>
          </w:tcPr>
          <w:p w14:paraId="3A16AFE6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366E7EB" w14:textId="44D471DC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начала и окончания работ</w:t>
            </w:r>
          </w:p>
        </w:tc>
        <w:tc>
          <w:tcPr>
            <w:tcW w:w="6798" w:type="dxa"/>
          </w:tcPr>
          <w:p w14:paraId="6DDBE248" w14:textId="5E9B474B" w:rsidR="000163F7" w:rsidRDefault="00D5618D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заключению договора </w:t>
            </w:r>
          </w:p>
        </w:tc>
      </w:tr>
      <w:tr w:rsidR="000163F7" w14:paraId="25F61601" w14:textId="77777777" w:rsidTr="000163F7">
        <w:tc>
          <w:tcPr>
            <w:tcW w:w="421" w:type="dxa"/>
          </w:tcPr>
          <w:p w14:paraId="7AF02C75" w14:textId="04578CBC" w:rsidR="000163F7" w:rsidRDefault="00385BA6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</w:tcPr>
          <w:p w14:paraId="6AE690FE" w14:textId="1BDDE662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ориентир</w:t>
            </w:r>
          </w:p>
        </w:tc>
        <w:tc>
          <w:tcPr>
            <w:tcW w:w="6798" w:type="dxa"/>
          </w:tcPr>
          <w:p w14:paraId="4B3FD92E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Результатом выполнения работ является прошедший экспертизу проект рабочей документации ОПС, СОУЭ объекта, соответствующий требованиям действующих нормативных документов по строительству и ведомственным и прочим документам: </w:t>
            </w:r>
          </w:p>
          <w:p w14:paraId="7ADBD871" w14:textId="77777777" w:rsidR="000163F7" w:rsidRDefault="000163F7" w:rsidP="000163F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«Технический регламент о требованиях пожарной безопасности» от 22.07.2008 №123-ФЗ. </w:t>
            </w:r>
          </w:p>
          <w:p w14:paraId="530F1FBD" w14:textId="0F335FE8" w:rsidR="000163F7" w:rsidRDefault="000163F7" w:rsidP="000163F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противопожарного режима в Российской Федерации (утв. Постановлением Правительства РФ №</w:t>
            </w:r>
            <w:r w:rsidR="00D5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5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5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D5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14:paraId="15F80357" w14:textId="77777777" w:rsidR="000163F7" w:rsidRDefault="000163F7" w:rsidP="000163F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3.13130.2009 «Системы противопожарной защиты. Система оповещения и управления эвакуацией людей при пожаре. Требования пожарной безопасности», Приказ МЧС России №173 от 25.03.2009. </w:t>
            </w:r>
          </w:p>
          <w:p w14:paraId="5ECD3FC1" w14:textId="7F6B1A98" w:rsidR="000163F7" w:rsidRDefault="000163F7" w:rsidP="000163F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484.1311500.2020 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«Системы противопожарной защиты. 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пожарной сигнализации и автоматизация систем противопожарной защиты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Нормы и правила проектирования», Приказ МЧС России №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4E38334" w14:textId="77777777" w:rsidR="000163F7" w:rsidRDefault="000163F7" w:rsidP="000163F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 6.13130.2013 «Системы противопожарной защиты. Электрооборудование. Требования пожарной безопасности».</w:t>
            </w:r>
          </w:p>
          <w:p w14:paraId="280F7A86" w14:textId="77777777" w:rsidR="000163F7" w:rsidRDefault="000163F7" w:rsidP="000163F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Национальный стандарт РФ ГОСТ Р 12.3.047-2012 «Система стандартов безопасности труда. Пожарная безопасность технологических процессов. Общие требования. Методы контроля». </w:t>
            </w:r>
          </w:p>
          <w:p w14:paraId="3CE3EB2F" w14:textId="77777777" w:rsidR="000163F7" w:rsidRDefault="000163F7" w:rsidP="000163F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стандарт РФ ГОСТ Р 53325-2012. «Техника пожарная. Технические средства пожарной автоматики. Общие технические требования. Методы испытаний». </w:t>
            </w:r>
          </w:p>
          <w:p w14:paraId="4CF0C279" w14:textId="77777777" w:rsidR="000163F7" w:rsidRDefault="000163F7" w:rsidP="000163F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«ПУЭ» издание 7. Правила устройства электроустановок. </w:t>
            </w:r>
          </w:p>
          <w:p w14:paraId="2A55504B" w14:textId="0EC23ED2" w:rsidR="000163F7" w:rsidRPr="000163F7" w:rsidRDefault="000163F7" w:rsidP="000163F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№87 от 16.02.2008 (ред. от 21.04.2018) «О составе разделов проектной документации и требованиях к их содержанию»</w:t>
            </w:r>
          </w:p>
        </w:tc>
      </w:tr>
      <w:tr w:rsidR="000163F7" w14:paraId="0AC49A6F" w14:textId="77777777" w:rsidTr="000163F7">
        <w:tc>
          <w:tcPr>
            <w:tcW w:w="421" w:type="dxa"/>
          </w:tcPr>
          <w:p w14:paraId="08F6E714" w14:textId="096FEA05" w:rsidR="000163F7" w:rsidRDefault="00385BA6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26" w:type="dxa"/>
          </w:tcPr>
          <w:p w14:paraId="030B9F8B" w14:textId="19D71058" w:rsidR="000163F7" w:rsidRP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объемы работ</w:t>
            </w:r>
          </w:p>
        </w:tc>
        <w:tc>
          <w:tcPr>
            <w:tcW w:w="6798" w:type="dxa"/>
          </w:tcPr>
          <w:p w14:paraId="2FB8F11F" w14:textId="77777777" w:rsidR="000163F7" w:rsidRP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I этап работ </w:t>
            </w:r>
          </w:p>
          <w:p w14:paraId="105AB228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Проведение предпроектного обследования объекта силами Исполнителя совместно с представителями Заказчика (ответственного за эксплуатацию систем пожарной безопасности). </w:t>
            </w:r>
          </w:p>
          <w:p w14:paraId="56885FBC" w14:textId="48CD8B02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Определение состава существующего оборудования АУПС, СОУЭ, подлежащего выводу из эксплуатации и демонтажу. </w:t>
            </w:r>
          </w:p>
          <w:p w14:paraId="53A1165A" w14:textId="77777777" w:rsidR="000163F7" w:rsidRP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II этап работ </w:t>
            </w:r>
          </w:p>
          <w:p w14:paraId="5F203E12" w14:textId="2F59606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Разработка проектной документации (далее — ПД) систем АУПС, СОУЭ </w:t>
            </w:r>
            <w:r w:rsidR="00D5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отделений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F9719C9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При разработке проектной документации следует руководствоваться действующими нормативными документами по строительству и ведомственными и прочими документами, предоставляемыми Заказчиком. </w:t>
            </w:r>
          </w:p>
          <w:p w14:paraId="41015102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Проведение независимой экспертизы (проверка на соответствие требованиям) разработанной ПД на соответствие требованиям нормативных документов в государственной судебно-экспертной организации, проводится за счет Исполнителя.</w:t>
            </w:r>
          </w:p>
          <w:p w14:paraId="53ED18A6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 Разработка рабочей документации (далее — РД) на основании ПД, прошедшей независимую экспертизу.</w:t>
            </w:r>
          </w:p>
          <w:p w14:paraId="6FF45097" w14:textId="6A8D907E" w:rsidR="000163F7" w:rsidRP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2.5. В состав РД и сметной документации включить раздел по демонтажу оборудования, выводимого из эксплуатации</w:t>
            </w:r>
          </w:p>
        </w:tc>
      </w:tr>
      <w:tr w:rsidR="000163F7" w14:paraId="61BD7D0D" w14:textId="77777777" w:rsidTr="000163F7">
        <w:tc>
          <w:tcPr>
            <w:tcW w:w="421" w:type="dxa"/>
          </w:tcPr>
          <w:p w14:paraId="7FF9573A" w14:textId="0BC1DA87" w:rsidR="000163F7" w:rsidRDefault="00385BA6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</w:tcPr>
          <w:p w14:paraId="1B943AD1" w14:textId="4E8EFCE8" w:rsidR="000163F7" w:rsidRP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требования к проектируемым системам</w:t>
            </w:r>
          </w:p>
        </w:tc>
        <w:tc>
          <w:tcPr>
            <w:tcW w:w="6798" w:type="dxa"/>
          </w:tcPr>
          <w:p w14:paraId="4CA06CDE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Проектируемые системы ОПС, СОУЭ выполнить на базе оборудования российского производства. </w:t>
            </w:r>
          </w:p>
          <w:p w14:paraId="0307C7F0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Проектной документацией предусмотреть применение </w:t>
            </w:r>
            <w:proofErr w:type="spellStart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радиоканальной</w:t>
            </w:r>
            <w:proofErr w:type="spellEnd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беспроводной системы ОПС и СОУЭ. </w:t>
            </w:r>
          </w:p>
          <w:p w14:paraId="4BB4BC57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3.2.1. Для защиты помещений применить автоматические адресные беспроводные пожарные извещатели дымовые, тепловые, комбинированного типа, пламени. </w:t>
            </w:r>
          </w:p>
          <w:p w14:paraId="6DC5C746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3.2.2. Системой должен поддерживаться алгоритм автоматического выбора пути связи каждого </w:t>
            </w:r>
            <w:proofErr w:type="spellStart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радиоканального</w:t>
            </w:r>
            <w:proofErr w:type="spellEnd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устройства с центральным приемно-контрольным прибором. 3.2.3. Система должна поддерживать возможность программирования устройств по радиосети. </w:t>
            </w:r>
          </w:p>
          <w:p w14:paraId="1C1F4439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3.2.4. Вдоль путей эвакуации предусмотреть установку ручных адресных беспроводных пожарных извещателей. </w:t>
            </w:r>
          </w:p>
          <w:p w14:paraId="7FC55AF9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3.2.5. При необходимости обеспечить защиту пространства за подвесными потолками адресными беспроводными пожарными извещателями. </w:t>
            </w:r>
          </w:p>
          <w:p w14:paraId="20EF10EB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3.2.6. Обеспечить контроль целостности всех линий связи (</w:t>
            </w:r>
            <w:proofErr w:type="spellStart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радиоканальные</w:t>
            </w:r>
            <w:proofErr w:type="spellEnd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проводные) проектируемых систем пожарной автоматики. </w:t>
            </w:r>
          </w:p>
          <w:p w14:paraId="64DD3118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3.2.7. В целях защиты от вмешательства в работу </w:t>
            </w:r>
            <w:proofErr w:type="spellStart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радиоканальной</w:t>
            </w:r>
            <w:proofErr w:type="spellEnd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должна применяться криптографическая защита каналов связи в соответствии с ГОСТ Р 34.12-2015 с механизмом динамической аутентификации.</w:t>
            </w:r>
          </w:p>
          <w:p w14:paraId="72021E89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3.2.8. В качестве приемно-контрольных приборов должны применяться головные устройства и ретрансляторы, обеспечивающие работу подсистемы ОПС и СОУЭ. В целях сокращения количества приборов-ретрансляторов, на один ретранслятор должно прописываться не менее 1900 </w:t>
            </w:r>
            <w:proofErr w:type="spellStart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радиоканальных</w:t>
            </w:r>
            <w:proofErr w:type="spellEnd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дочерних устройств. </w:t>
            </w:r>
          </w:p>
          <w:p w14:paraId="665399F7" w14:textId="0DB6C1FD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Установку ОПС запроектировать с учетом размещения в каждом помещении не менее двух пожарных извещателей, включенных по логической схеме «И» (</w:t>
            </w:r>
            <w:proofErr w:type="spellStart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двухпороговое</w:t>
            </w:r>
            <w:proofErr w:type="spellEnd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срабатывание — «Внимание» и «Пожар»). При условии применения пожарных извещателей, удовлетворяющих требованиям </w:t>
            </w:r>
            <w:r w:rsidR="00DD5E3C"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484.1311500.2020 </w:t>
            </w:r>
            <w:r w:rsidR="00DD5E3C"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«Системы противопожарной защиты. 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пожарной сигнализации и автоматизация систем противопожарной защиты</w:t>
            </w:r>
            <w:r w:rsidR="00DD5E3C"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Нормы и правила проектирования», Приказ МЧС России №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  <w:r w:rsidR="00DD5E3C"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DD5E3C"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D5E3C"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="00DD5E3C"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допускается установка одного ПИ в помещении. </w:t>
            </w:r>
          </w:p>
          <w:p w14:paraId="19C5BB4A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Обеспечить выдачу сигналов на запуск СОУЭ, отключение инженерных систем (приточно-вытяжной вентиляции, лифтовое оборудование и т.п.) при формировании сигнала «Пожар». </w:t>
            </w:r>
          </w:p>
          <w:p w14:paraId="58581E23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Для электропитания оборудования ОПС и СОУЭ применять источники резервируемого питания, обладающие функциями автоматического контроля электропитания, состояния аккумуляторов и передачи сигналов контроля на прибор контрольный и управления. Длительность работы пожарных извещателей от одного комплекта батарей (при корректной инсталляции, со значениями параметров по умолчанию и активации в среднем не более 1,5 минут в месяц) — не менее 8 лет.</w:t>
            </w:r>
          </w:p>
          <w:p w14:paraId="3BACFAAF" w14:textId="7619D6F3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Длительность работы речевых и звуковых оповещателей от одного комплекта батарей (при корректной инсталляции, со значениями параметров по умолчанию и активации в среднем не более 3 минут в месяц) — не менее 8 лет. </w:t>
            </w:r>
          </w:p>
          <w:p w14:paraId="71C1EF68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3.6. Предусмотреть совместную работу ОПС с имеющейся системой дымоудаления, с обязательной визуализацией работы всех элементов систем на АРМ. </w:t>
            </w:r>
          </w:p>
          <w:p w14:paraId="7E0F0F78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3.7. Разработанные системы ОПС, СОУЭ должны формировать систему сбора информации на автоматизированное рабочее место (АРМ) оператора с возможностью организации единого 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удаленного АРМ для круглосуточного наблюдения через центр технического мониторинга. </w:t>
            </w:r>
          </w:p>
          <w:p w14:paraId="56B703E3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3.8. Регламентные работы по техническому обслуживанию разработанных систем ОПС должны проводиться с периодичностью не чаще 1 раза в 6 месяцев. </w:t>
            </w:r>
          </w:p>
          <w:p w14:paraId="639079C0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3.9. Закладываемое оборудование установок ОПС должно иметь гарантийный срок эксплуатации не менее 8 лет при условии своевременного технического обслуживания. </w:t>
            </w:r>
          </w:p>
          <w:p w14:paraId="47C4E6CE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3.10. Закладываемое оборудование установок должно иметь срок эксплуатации не менее 10 лет. </w:t>
            </w:r>
          </w:p>
          <w:p w14:paraId="4AC1B55F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3.11. Проектируемые системы должны иметь возможность полной интеграции с дополнительными системами безопасности 1 системой контроля и управления доступом (СКУД), системой оповещения о чрезвычайных ситуациях, угрозах о совершении террористического акта. </w:t>
            </w:r>
          </w:p>
          <w:p w14:paraId="378BD946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3.12. При разработке проектной документации определить вариант доступа к оборудованию установок ОПС, СОУЭ для проведения регламентных и ремонтных работ. </w:t>
            </w:r>
          </w:p>
          <w:p w14:paraId="2DA6376B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3.13. С целью обеспечения контроля за работоспособностью системы комплексная система противопожарной безопасности должна иметь возможность реализации следующих функций: отображение текущего состояния системы в обобщенном виде и с возможностью просмотра состояния каждого извещателя; предоставление отчетов выполнения работ по обслуживанию системы; уровень запыленности дымовых камер извещателей; состояние каналов связи с подразделением пожарной охраны и ЦУКС; удаленное управление системой (отключение оповещения, отмена тревоги, отмена вызова пожарных расчетов). </w:t>
            </w:r>
          </w:p>
          <w:p w14:paraId="54DE45D5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3.14. Комплексная система пожарной безопасности должна поддерживать возможность автоматического оповещения руководителей или ответственных лиц объекта о возникновении фактов: невыполнения работ по обслуживанию подсистем; запылении камеры дымового извещателя выше рекомендованного производителем порога; </w:t>
            </w:r>
            <w:proofErr w:type="spellStart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неустранения</w:t>
            </w:r>
            <w:proofErr w:type="spellEnd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неисправностей в нормативный срок или при повторном возникновении неисправностей одного типа и(или) для одного и того же устройства. </w:t>
            </w:r>
          </w:p>
          <w:p w14:paraId="5711883F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3.15. Задержка пуска исполнительных устройств в системе не должна превышать 4 секунд. </w:t>
            </w:r>
          </w:p>
          <w:p w14:paraId="08A58D05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3.16. Запуск исполнительных устройств, включенных в одну группу, должен осуществляться одновременно. </w:t>
            </w:r>
          </w:p>
          <w:p w14:paraId="251E7F8A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3.17. В целях ускорения реагирования комплексная системы противопожарной безопасности должна иметь возможность отображения объекта мониторинга на ГИС-карте в программном обеспечении дежурно-диспетчерской службы подразделения пожарной охраны с однозначной индикацией возникновения пожара на объекте. </w:t>
            </w:r>
          </w:p>
          <w:p w14:paraId="5772C2E8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3.18. Подсистема автоматической пожарной сигнализации должна обеспечивать обнаружение возгорания на ранней стадии, передачу информации о возгорании на пост охраны объекта и в дежурно-диспетчерскую службу подразделения 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пожарной охраны. Должно обеспечиваться хранение протокола событий объемом не менее 10 000 событий. </w:t>
            </w:r>
          </w:p>
          <w:p w14:paraId="30568A35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3.19. Подсистема оповещения о пожаре, чрезвычайных ситуациях должна обеспечивать выдачу необходимых световых, звуковых, речевых сигналов при фиксации опасных факторов пожара. При этом должен обеспечиваться контроль целостности линий связи и передачи аудиосигнала. </w:t>
            </w:r>
          </w:p>
          <w:p w14:paraId="5297E5CA" w14:textId="7777777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3.20. В составе системы должна существовать возможность организации предварительного персонального оповещения о пожаре, ЧС, угрозе совершения террористического акта руководителя объекта и ответственных сотрудников в целях исключения паники и обеспечения организованной эвакуации. 3.21. В составе подсистемы дублирования сигнала о возникновении пожара с объекта в подразделение пожарной охраны применить прибор объектовый оконечный, действующий совместно в составе системы передачи извещений с прибором приемным оконечным, установленным в подразделении пожарной охраны (наименование, адрес). Прибор объектовый оконечный в составе системы передачи извещений должен обеспечивать: передачу по каналам связи и контроль приема диспетчером дежурно-диспетчерской службы подразделения пожарной охраны, ведущим круглосуточное дежурство, извещений о пожаре на охраняемом объекте, служебных и контрольно-диагностических извещений; прием команд управления с подтверждением получения сообщения (рассмотреть возможность дальнейшей эксплуатации приборов, установленных на объектах Заказчика). </w:t>
            </w:r>
          </w:p>
          <w:p w14:paraId="15D48B8C" w14:textId="69AC27CE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D5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Установка на дверях эвакуационных выходов электромагнитных замков с обеспечением автоматической разблокировки при срабатывании ОПС. </w:t>
            </w:r>
          </w:p>
          <w:p w14:paraId="3AC6B81D" w14:textId="271692EB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D5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Дублирование сигналов на автоматизированное рабочее место Заказчика</w:t>
            </w:r>
            <w:r w:rsidR="00D5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514ECA" w14:textId="64A82E67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D5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Совместимость прибора объектового оконечного с прибором приемным оконечным должна быть подтверждена Сертификатом соответствия (обязательная сертификация), требованиями Технического регламента о требованиях пожарной безопасности по частям 7 и 9 ГОСТ Р 53325-2012 «Техника пожарная. Технические средства пожарной автоматики. Общие технические требования и методы испытаний». </w:t>
            </w:r>
          </w:p>
          <w:p w14:paraId="082AFB63" w14:textId="2D4360FC" w:rsid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D5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качестве канала связи должен использоваться радиоканал в полосе частот, выделенных МО РФ для МЧС России. Допускается, по согласованию с руководителем территориального органа управления МЧС России по субъекту Российской Федерации, использовать каналы общего пользования. Должна быть обеспечена уверенная связь прибора объектового оконечного с прибором пультовым оконечным, при необходимости, установкой дополнительной антенны.</w:t>
            </w:r>
          </w:p>
          <w:p w14:paraId="20A12963" w14:textId="63B91CFE" w:rsidR="000163F7" w:rsidRP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3.2</w:t>
            </w:r>
            <w:r w:rsidR="00D5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Требования к составу проектно-сметной документации указаны в разделе 6 настоящего технического задания</w:t>
            </w:r>
          </w:p>
        </w:tc>
      </w:tr>
      <w:tr w:rsidR="000163F7" w14:paraId="7B2AE090" w14:textId="77777777" w:rsidTr="000163F7">
        <w:tc>
          <w:tcPr>
            <w:tcW w:w="421" w:type="dxa"/>
          </w:tcPr>
          <w:p w14:paraId="3397B48E" w14:textId="57666D70" w:rsidR="000163F7" w:rsidRDefault="00385BA6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126" w:type="dxa"/>
          </w:tcPr>
          <w:p w14:paraId="5DF686D9" w14:textId="71841B46" w:rsidR="000163F7" w:rsidRP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 для проектирования</w:t>
            </w:r>
          </w:p>
        </w:tc>
        <w:tc>
          <w:tcPr>
            <w:tcW w:w="6798" w:type="dxa"/>
          </w:tcPr>
          <w:p w14:paraId="69BBC07C" w14:textId="77777777" w:rsidR="008402EB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Проектирование осуществляется на основании технических паспортов зданий. </w:t>
            </w:r>
          </w:p>
          <w:p w14:paraId="04CC2177" w14:textId="77777777" w:rsidR="008402EB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При проектировании раздел по демонтажу существующего оборудования ОПС, СОУЭ, подлежащего выводу из эксплуатации, осуществлять на основании результатов предпроектного обследования Исполнителем. </w:t>
            </w:r>
          </w:p>
          <w:p w14:paraId="126BE0F3" w14:textId="77777777" w:rsidR="008402EB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Приборы управления, контроля и индикации установок разместить в помещении дежурной смены охраны. </w:t>
            </w:r>
          </w:p>
          <w:p w14:paraId="55A02150" w14:textId="5E8752E7" w:rsidR="000163F7" w:rsidRPr="000163F7" w:rsidRDefault="000163F7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Исходные данные, необходимые для выполнения работ, предоставляет Заказчик. В случае необходимости Заказчик гарантирует предоставление недостающей (требуемой) информации или организует работу по сбору требуемой информации совместно со специалистами Исполнителя</w:t>
            </w:r>
          </w:p>
        </w:tc>
      </w:tr>
      <w:tr w:rsidR="008402EB" w14:paraId="6E3F33E7" w14:textId="77777777" w:rsidTr="000163F7">
        <w:tc>
          <w:tcPr>
            <w:tcW w:w="421" w:type="dxa"/>
          </w:tcPr>
          <w:p w14:paraId="5DE69679" w14:textId="6CC1311C" w:rsidR="008402EB" w:rsidRDefault="00385BA6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</w:tcPr>
          <w:p w14:paraId="72279AD6" w14:textId="55B234FE" w:rsidR="008402EB" w:rsidRPr="000163F7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техническим решениям при проектировании и выполнении монтажных и пусконаладочных работ.</w:t>
            </w:r>
          </w:p>
        </w:tc>
        <w:tc>
          <w:tcPr>
            <w:tcW w:w="6798" w:type="dxa"/>
          </w:tcPr>
          <w:p w14:paraId="7A93DAE9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решения предварительно согласовываются Исполнителем с Заказчиком. Технические решения должны отвечать следующим требованиям: </w:t>
            </w:r>
          </w:p>
          <w:p w14:paraId="22EC72EE" w14:textId="0B95C5A8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Должны быть направлены на совершенствование систем и установок безопасности </w:t>
            </w:r>
            <w:r w:rsidR="0038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7008A17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При проектировании руководствоваться следующими нормативными документами: </w:t>
            </w:r>
          </w:p>
          <w:p w14:paraId="6282D4C8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5.2.1. Федеральный закон «Технический регламент о требованиях пожарной безопасности» от 22.07.2008 №123-ФЗ. 5.2.2. ГОСТ Р 21.1101-2013 «Система проектной документации для строительства». </w:t>
            </w:r>
          </w:p>
          <w:p w14:paraId="6FFCB8F8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5.2.3. ГОСТ 12.1.019-2017 «Межгосударственный стандарт. Система стандартов безопасности труда. Электробезопасность. Общие требования и номенклатура видов защиты».</w:t>
            </w:r>
          </w:p>
          <w:p w14:paraId="378FD242" w14:textId="0482F318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5.2.4. Правила противопожарного режима в Российской Федерации (утв. Постановлением Правительства РФ №</w:t>
            </w:r>
            <w:r w:rsidR="0038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38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38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38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14:paraId="4B56726C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44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5.2.5. СП 3.13130.2009 «Системы противопожарной защиты. Система оповещения и управления эвакуацией людей при пожаре. Требования пожарной безопасности», Приказ МЧС России №179 от 25.03.2009.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82E284" w14:textId="37F69D50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5.2.6. </w:t>
            </w:r>
            <w:r w:rsidR="00DD5E3C"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484.1311500.2020 </w:t>
            </w:r>
            <w:r w:rsidR="00DD5E3C"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«Системы противопожарной защиты. 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пожарной сигнализации и автоматизация систем противопожарной защиты</w:t>
            </w:r>
            <w:r w:rsidR="00DD5E3C"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Нормы и правила проектирования», Приказ МЧС России №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  <w:r w:rsidR="00DD5E3C"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DD5E3C"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D5E3C"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DD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4E24869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5.2.7. СП 6.13130.2013 «Системы противопожарной защиты. Электрооборудование. Требования пожарной безопасности». 5.2.8. СП 7.13130.2013 «Отопление, вентиляция и кондиционирование. Требования пожарной безопасности». 5.2.9. СП 12.13130.2009 «Определение категорий помещений, зданий и наружных установок по взрывопожарной и пожарной опасности».</w:t>
            </w:r>
          </w:p>
          <w:p w14:paraId="0D8E34DB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5.2.10. ПУЭ «Правила устройства электроустановок», изд. 7. 5.2.11. РД 25.964-90 «Система технического обслуживания и ремонта автоматических установок пожаротушения, дымоудаления, пожарной и охранно-пожарной сигнализации. Организация и порядок проведения работ». </w:t>
            </w:r>
          </w:p>
          <w:p w14:paraId="2826FE0A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5.2.12. РД 78.145-93 «Системы и комплексы охранной, пожарной и охранно-пожарной сигнализации. Обозначения условные. Графические элементы связи». </w:t>
            </w:r>
          </w:p>
          <w:p w14:paraId="60F12AAC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5.2.13. НПБ 241-97 «Клапаны противопожарные вентиляционных систем. Методы испытания на огнестойкость». </w:t>
            </w:r>
          </w:p>
          <w:p w14:paraId="746BFFBF" w14:textId="7AEC93DB" w:rsidR="008402EB" w:rsidRPr="000163F7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5.2.14. НПБ 240-97 «Противодымная защита зданий и сооружений. Методы приемо-сдаточных и периодичных испытаний»</w:t>
            </w:r>
          </w:p>
        </w:tc>
      </w:tr>
      <w:tr w:rsidR="008402EB" w14:paraId="364FC504" w14:textId="77777777" w:rsidTr="000163F7">
        <w:tc>
          <w:tcPr>
            <w:tcW w:w="421" w:type="dxa"/>
          </w:tcPr>
          <w:p w14:paraId="3A2841BB" w14:textId="0CEB8DF1" w:rsidR="008402EB" w:rsidRDefault="00385BA6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126" w:type="dxa"/>
          </w:tcPr>
          <w:p w14:paraId="356E6A7E" w14:textId="7414F20A" w:rsidR="008402EB" w:rsidRPr="000163F7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проектно-сметной документации</w:t>
            </w:r>
          </w:p>
        </w:tc>
        <w:tc>
          <w:tcPr>
            <w:tcW w:w="6798" w:type="dxa"/>
          </w:tcPr>
          <w:p w14:paraId="4F61C979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Проектная рабочая документация должна быть представлена в 3 экземплярах на бумажном носителе и в 1 экземпляре — в электронном виде.</w:t>
            </w:r>
          </w:p>
          <w:p w14:paraId="0DE560BD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6.2. Состав и содержание документации должны соответствовать требованиям статьи 48 Федерального закона от 29.12.2004 №190-ФЗ и Постановления от 16.02.2008 №87. </w:t>
            </w:r>
          </w:p>
          <w:p w14:paraId="70236667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При оформлении документации учесть требования ГОСТ Р21.1101-2013 и ГОСТ Р 21.1703.2000.</w:t>
            </w:r>
          </w:p>
          <w:p w14:paraId="7306A5C9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6.4. В составе документации должно быть отражено следующее: </w:t>
            </w:r>
          </w:p>
          <w:p w14:paraId="308AED40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6.4.1. Основание для разработки документации. </w:t>
            </w:r>
          </w:p>
          <w:p w14:paraId="4555A532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6.4.2. Краткая характеристика защищаемого объекта. </w:t>
            </w:r>
          </w:p>
          <w:p w14:paraId="3BDB652F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6.4.3. Описание основных технических решений, принятых в проекте.</w:t>
            </w:r>
          </w:p>
          <w:p w14:paraId="37ADCAD9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6.4.4. Спецификация основного оборудования. </w:t>
            </w:r>
          </w:p>
          <w:p w14:paraId="7333CC41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6.4.5. Подробное описание функционирования по подсистемам. 6.4.6. Описание функционирования в целом, с алгоритмом интеграции и таблицами программирования. </w:t>
            </w:r>
          </w:p>
          <w:p w14:paraId="385F31B1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6.4.7. Расчет параметров электропитания и резервирования. 6.4.8. Структурные схемы подсистем и систем.</w:t>
            </w:r>
          </w:p>
          <w:p w14:paraId="65EA1985" w14:textId="2879969C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6.4.9. Планы размещения оборудования и линий связи. </w:t>
            </w:r>
          </w:p>
          <w:p w14:paraId="57DF0BCF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6.4.10. Схемы внешних соединений. </w:t>
            </w:r>
          </w:p>
          <w:p w14:paraId="5CF7C48D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6.4.11. Схемы подключения оборудования.</w:t>
            </w:r>
          </w:p>
          <w:p w14:paraId="2A44CF33" w14:textId="5B939F42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6.4.12. Схемы соединений в шкафах и коробках соединительных. </w:t>
            </w:r>
          </w:p>
          <w:p w14:paraId="255B0167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6.4.13. Чертежи размещения оборудования.</w:t>
            </w:r>
          </w:p>
          <w:p w14:paraId="7F4C57CC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6.4.14. Кабельный журнал.</w:t>
            </w:r>
          </w:p>
          <w:p w14:paraId="5A14BD93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6.4.15. Подробные спецификации с указанием ЗИП. </w:t>
            </w:r>
          </w:p>
          <w:p w14:paraId="334F234C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6.5. Требования к сметной документации: </w:t>
            </w:r>
          </w:p>
          <w:p w14:paraId="25148657" w14:textId="77777777" w:rsidR="00385BA6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6.5.1. Сметная документация </w:t>
            </w:r>
            <w:proofErr w:type="gramStart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 в</w:t>
            </w:r>
            <w:proofErr w:type="gramEnd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печатном и электронном видах. </w:t>
            </w:r>
          </w:p>
          <w:p w14:paraId="5CE888FC" w14:textId="24DBF361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6.6. Акт сдачи-приемки выполненных работ в 2 экземплярах. 6.7. Единицы измерений в проектно-сметной документации должны быть представлены в международной системе единиц. Документация должна быть на русском языке. </w:t>
            </w:r>
          </w:p>
          <w:p w14:paraId="19E0D4F2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6.8. При обнаружении отдельных несоответствий проектной документации техническому заданию, исходно-разрешительной документации, техническим условиям и </w:t>
            </w:r>
            <w:proofErr w:type="gramStart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полноты</w:t>
            </w:r>
            <w:proofErr w:type="gramEnd"/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объема документации Заказчик передает их Исполнителю в письменном виде. После устранения несоответствий повторное согласование и утверждение производится в порядке, установленном как для вновь разработанной проектно-сметной документации. </w:t>
            </w:r>
          </w:p>
          <w:p w14:paraId="67F82928" w14:textId="5FDC1A11" w:rsidR="008402EB" w:rsidRPr="000163F7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6.9. Прием-передача документации между Заказчиком и Исполнителем производится по акту приема-передачи с указанием состава и количества экземпляров документации. При внесении изменений и дополнений в порядке согласования документации Исполнитель оформляет и прикладывает к акту лист регистрации изменений</w:t>
            </w:r>
          </w:p>
        </w:tc>
      </w:tr>
      <w:tr w:rsidR="008402EB" w14:paraId="7C886FE2" w14:textId="77777777" w:rsidTr="000163F7">
        <w:tc>
          <w:tcPr>
            <w:tcW w:w="421" w:type="dxa"/>
          </w:tcPr>
          <w:p w14:paraId="0A8BC7D7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F7E298C" w14:textId="275AA5B4" w:rsidR="008402EB" w:rsidRPr="000163F7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798" w:type="dxa"/>
          </w:tcPr>
          <w:p w14:paraId="780C96C0" w14:textId="77777777" w:rsidR="008402EB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Исполнитель несет ответственность за несоблюдение требований в области охраны труда, техники безопасности, экологической и пожарной опасности. </w:t>
            </w:r>
          </w:p>
          <w:p w14:paraId="160C9A4E" w14:textId="207D0A9B" w:rsidR="008402EB" w:rsidRPr="000163F7" w:rsidRDefault="008402EB" w:rsidP="0001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Исполнитель несет ответственность за коммерческие потери (убытки), понесенные Заказчиком по вине Исполнителя. 7.3. Исполнитель несет ответственность за разглашение конфиденциальной информации</w:t>
            </w:r>
          </w:p>
        </w:tc>
      </w:tr>
    </w:tbl>
    <w:p w14:paraId="5AC7BDEA" w14:textId="77777777" w:rsidR="000163F7" w:rsidRDefault="000163F7" w:rsidP="00016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74FB9" w14:textId="77777777" w:rsidR="000163F7" w:rsidRDefault="000163F7" w:rsidP="00016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48E9E" w14:textId="77777777" w:rsidR="000163F7" w:rsidRDefault="000163F7" w:rsidP="00016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23D70" w14:textId="160037AB" w:rsidR="000163F7" w:rsidRPr="000163F7" w:rsidRDefault="000163F7" w:rsidP="00016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651577C" w14:textId="77777777" w:rsidR="001D6EBE" w:rsidRDefault="001D6EBE"/>
    <w:sectPr w:rsidR="001D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131AA"/>
    <w:multiLevelType w:val="hybridMultilevel"/>
    <w:tmpl w:val="4C281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C4185"/>
    <w:multiLevelType w:val="hybridMultilevel"/>
    <w:tmpl w:val="C3DC7556"/>
    <w:lvl w:ilvl="0" w:tplc="B28AFB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21"/>
    <w:rsid w:val="000163F7"/>
    <w:rsid w:val="000660D9"/>
    <w:rsid w:val="001D6EBE"/>
    <w:rsid w:val="002A1ACC"/>
    <w:rsid w:val="002D167B"/>
    <w:rsid w:val="00311AD9"/>
    <w:rsid w:val="00385BA6"/>
    <w:rsid w:val="003A1C47"/>
    <w:rsid w:val="004444B3"/>
    <w:rsid w:val="005A6BD4"/>
    <w:rsid w:val="008402EB"/>
    <w:rsid w:val="00954E21"/>
    <w:rsid w:val="00C34EA4"/>
    <w:rsid w:val="00D5618D"/>
    <w:rsid w:val="00DC64E1"/>
    <w:rsid w:val="00D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EB26"/>
  <w15:chartTrackingRefBased/>
  <w15:docId w15:val="{00EE0A41-8F55-41AD-83B7-85149C2A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63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6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2021-06-25T11:30:00Z</cp:lastPrinted>
  <dcterms:created xsi:type="dcterms:W3CDTF">2021-05-31T09:14:00Z</dcterms:created>
  <dcterms:modified xsi:type="dcterms:W3CDTF">2021-06-25T12:00:00Z</dcterms:modified>
</cp:coreProperties>
</file>