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Т.А. Булгадаров</w:t>
        <w:br/>
        <w:t>Директор</w:t>
        <w:br/>
        <w:t>МАУ "Объединенная дирекция парков"</w:t>
        <w:br/>
        <w:t>«23» марта 2021г.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металлических шкафов  для нужд МАУ «Объединенная дирекция парков»</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«Объединенная дирекция парков Богородского городского округа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142400, Московская область г. Ногинск, ул. Леснова, д. 2</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142400, Московская область г. Ногинск, ул. Леснова, д. 2</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Lida-repkina@mail.ru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7-965-2535969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Репкина Лидия Михайловна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металлических шкафов  для нужд МАУ «Объединенная дирекция парков»</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Согласно ТЗ;</w:t>
              <w:br/>
              <w:t>Сроки поставки товара: Согласно ТЗ;</w:t>
              <w:br/>
              <w:t>Условия поставки товара: Согласно ТЗ</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123 986 (сто двадцать три тысячи девятьсот восемьдесят шесть) рублей 66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br/>
              <w:t/>
              <w:br/>
              <w:t>КБК: 909-0000-0000000000-244, 123 986 рублей 66 копеек</w:t>
              <w:br/>
              <w:t/>
              <w:br/>
              <w:t>ОКПД2: 31.01.12.131 Шкафы для одежды деревянные;</w:t>
              <w:br/>
              <w:t>31.01.12.132 Шкафы архивные деревянные;</w:t>
              <w:br/>
              <w:t/>
              <w:br/>
              <w:t>ОКВЭД2: 31.01 Производство мебели для офисов и предприятий торговли;</w:t>
              <w:br/>
              <w:t>31.01 Производство мебели для офисов и предприятий торговли;</w:t>
              <w:br/>
              <w:t/>
              <w:br/>
              <w:t>Код КОЗ: 01.05.01.24.10 Шкаф для одежды;</w:t>
              <w:br/>
              <w:t>01.05.01.24.01 Архивный шкаф;</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Оплата за оказанные услуги производится Заказчиком после подписания Акта сдачи-приемки оказанных услуг, путем безналичного перечисления на расчетный счет Исполнителя денежных средств в течение 15 (пятнадцати) банковских дней со дня подписания Заказчиком Акта сдачи-приемки оказанных услуг</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товаров/работ/услуг в составе заявки.</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«05» апреля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«09» апреля 2021 в 09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«05» апреля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«12» апреля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«12» апреля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«12» апреля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18895ED8" w14:textId="77777777" w:rsidR="00D6639E" w:rsidRDefault="00D6639E" w:rsidP="00D6639E">
      <w:pPr>
        <w:pStyle w:val="Style1"/>
        <w:widowControl/>
        <w:jc w:val="center"/>
        <w:rPr>
          <w:b/>
          <w:sz w:val="28"/>
          <w:szCs w:val="28"/>
        </w:rPr>
      </w:pPr>
      <w:bookmarkStart w:id="424" w:name="bookmark0"/>
      <w:bookmarkEnd w:id="424"/>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D70BD" w14:textId="77777777" w:rsidR="00152D36" w:rsidRDefault="00152D36">
      <w:r>
        <w:separator/>
      </w:r>
    </w:p>
  </w:endnote>
  <w:endnote w:type="continuationSeparator" w:id="0">
    <w:p w14:paraId="7C6F71C0" w14:textId="77777777" w:rsidR="00152D36" w:rsidRDefault="00152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FE470" w14:textId="77777777" w:rsidR="00152D36" w:rsidRDefault="00152D36">
      <w:r>
        <w:separator/>
      </w:r>
    </w:p>
  </w:footnote>
  <w:footnote w:type="continuationSeparator" w:id="0">
    <w:p w14:paraId="1E14CB91" w14:textId="77777777" w:rsidR="00152D36" w:rsidRDefault="00152D36">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30</Pages>
  <Words>8953</Words>
  <Characters>51034</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59868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177</cp:revision>
  <cp:lastPrinted>2020-02-28T13:52:00Z</cp:lastPrinted>
  <dcterms:created xsi:type="dcterms:W3CDTF">2020-05-25T07:56:00Z</dcterms:created>
  <dcterms:modified xsi:type="dcterms:W3CDTF">2021-02-05T11:32:00Z</dcterms:modified>
</cp:coreProperties>
</file>