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67" w:rsidRDefault="00080A67" w:rsidP="00080A6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080A67" w:rsidRDefault="00080A67" w:rsidP="00080A67">
      <w:pPr>
        <w:pStyle w:val="a5"/>
        <w:jc w:val="center"/>
        <w:rPr>
          <w:rFonts w:ascii="Verdana" w:hAnsi="Verdana"/>
          <w:b/>
          <w:sz w:val="20"/>
          <w:szCs w:val="20"/>
        </w:rPr>
      </w:pPr>
    </w:p>
    <w:p w:rsidR="00080A67" w:rsidRDefault="00080A67" w:rsidP="00080A6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b/>
          <w:shd w:val="clear" w:color="auto" w:fill="FFFFFF"/>
        </w:rPr>
        <w:t>Наименование объекта закупки</w:t>
      </w:r>
      <w:bookmarkStart w:id="0" w:name="_GoBack"/>
      <w:bookmarkEnd w:id="0"/>
      <w:r w:rsidR="00FD0693">
        <w:rPr>
          <w:shd w:val="clear" w:color="auto" w:fill="FFFFFF"/>
        </w:rPr>
        <w:t xml:space="preserve">: </w:t>
      </w:r>
      <w:r w:rsidR="00FD0693" w:rsidRPr="00FD0693">
        <w:rPr>
          <w:shd w:val="clear" w:color="auto" w:fill="FFFFFF"/>
        </w:rPr>
        <w:t>Поставка комплектов для тематических и игровых занятий на открытых площадках.</w:t>
      </w:r>
    </w:p>
    <w:p w:rsidR="00080A67" w:rsidRDefault="00080A67" w:rsidP="00080A6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080A67" w:rsidRDefault="00080A67" w:rsidP="00080A67">
      <w:pPr>
        <w:pStyle w:val="a5"/>
        <w:rPr>
          <w:rFonts w:ascii="Verdana" w:hAnsi="Verdana"/>
          <w:b/>
          <w:sz w:val="20"/>
          <w:szCs w:val="20"/>
        </w:rPr>
      </w:pPr>
    </w:p>
    <w:p w:rsidR="00080A67" w:rsidRDefault="00080A67" w:rsidP="00080A67">
      <w:pPr>
        <w:rPr>
          <w:bCs/>
          <w:color w:val="000000"/>
          <w:sz w:val="22"/>
          <w:szCs w:val="22"/>
        </w:rPr>
      </w:pPr>
      <w:r>
        <w:rPr>
          <w:b/>
          <w:sz w:val="22"/>
          <w:szCs w:val="22"/>
          <w:lang w:eastAsia="en-US"/>
        </w:rPr>
        <w:t>ОКПД 2:</w:t>
      </w:r>
      <w:r>
        <w:rPr>
          <w:sz w:val="22"/>
          <w:szCs w:val="22"/>
          <w:lang w:eastAsia="en-US"/>
        </w:rPr>
        <w:t xml:space="preserve"> 32.30.15.239</w:t>
      </w:r>
      <w:r>
        <w:rPr>
          <w:bCs/>
          <w:color w:val="000000"/>
          <w:sz w:val="22"/>
          <w:szCs w:val="22"/>
        </w:rPr>
        <w:t xml:space="preserve">  Инвентарь  прочий для занятий спортом или для игр на открытом воздухе, не включенный в другие группировки</w:t>
      </w:r>
      <w:r>
        <w:rPr>
          <w:bCs/>
          <w:color w:val="FF0000"/>
          <w:sz w:val="22"/>
          <w:szCs w:val="22"/>
        </w:rPr>
        <w:t xml:space="preserve">. </w:t>
      </w:r>
      <w:r>
        <w:rPr>
          <w:color w:val="FF0000"/>
          <w:sz w:val="22"/>
          <w:szCs w:val="22"/>
          <w:lang w:eastAsia="en-US"/>
        </w:rPr>
        <w:t xml:space="preserve"> </w:t>
      </w:r>
    </w:p>
    <w:p w:rsidR="00080A67" w:rsidRDefault="00080A67" w:rsidP="00080A67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КОЗ</w:t>
      </w:r>
      <w:r>
        <w:rPr>
          <w:rFonts w:ascii="Times New Roman" w:hAnsi="Times New Roman"/>
        </w:rPr>
        <w:t xml:space="preserve"> 01.22.02.19.06.12 Деревянные конструкции для игр на улице</w:t>
      </w:r>
    </w:p>
    <w:p w:rsidR="00080A67" w:rsidRDefault="00080A67" w:rsidP="00080A67">
      <w:pPr>
        <w:pStyle w:val="a5"/>
        <w:rPr>
          <w:rFonts w:ascii="Verdana" w:hAnsi="Verdana"/>
          <w:b/>
          <w:sz w:val="20"/>
          <w:szCs w:val="20"/>
        </w:rPr>
      </w:pPr>
    </w:p>
    <w:tbl>
      <w:tblPr>
        <w:tblW w:w="157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827"/>
        <w:gridCol w:w="8362"/>
        <w:gridCol w:w="1559"/>
        <w:gridCol w:w="1559"/>
      </w:tblGrid>
      <w:tr w:rsidR="00080A67" w:rsidTr="00080A67">
        <w:trPr>
          <w:trHeight w:val="10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67" w:rsidRDefault="00080A67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№</w:t>
            </w:r>
          </w:p>
          <w:p w:rsidR="00080A67" w:rsidRDefault="00080A67">
            <w:pPr>
              <w:suppressAutoHyphens w:val="0"/>
              <w:spacing w:after="200" w:line="276" w:lineRule="auto"/>
              <w:jc w:val="center"/>
              <w:rPr>
                <w:kern w:val="0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67" w:rsidRDefault="00080A67">
            <w:pPr>
              <w:suppressAutoHyphens w:val="0"/>
              <w:spacing w:after="200" w:line="276" w:lineRule="auto"/>
              <w:jc w:val="center"/>
              <w:rPr>
                <w:kern w:val="0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Наименование товара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67" w:rsidRDefault="00080A67">
            <w:pPr>
              <w:suppressAutoHyphens w:val="0"/>
              <w:spacing w:after="200" w:line="276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Техническое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67" w:rsidRDefault="00080A67">
            <w:pPr>
              <w:suppressAutoHyphens w:val="0"/>
              <w:spacing w:after="200" w:line="276" w:lineRule="auto"/>
              <w:jc w:val="center"/>
              <w:rPr>
                <w:kern w:val="0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67" w:rsidRDefault="00080A67">
            <w:pPr>
              <w:suppressAutoHyphens w:val="0"/>
              <w:spacing w:after="200" w:line="276" w:lineRule="auto"/>
              <w:jc w:val="center"/>
              <w:rPr>
                <w:kern w:val="0"/>
                <w:lang w:eastAsia="en-US" w:bidi="ar-SA"/>
              </w:rPr>
            </w:pPr>
            <w:proofErr w:type="spellStart"/>
            <w:r>
              <w:rPr>
                <w:kern w:val="0"/>
                <w:sz w:val="22"/>
                <w:szCs w:val="22"/>
                <w:lang w:eastAsia="ru-RU" w:bidi="ar-SA"/>
              </w:rPr>
              <w:t>Ед</w:t>
            </w:r>
            <w:proofErr w:type="spellEnd"/>
            <w:r>
              <w:rPr>
                <w:kern w:val="0"/>
                <w:sz w:val="22"/>
                <w:szCs w:val="22"/>
                <w:lang w:eastAsia="ru-RU" w:bidi="ar-SA"/>
              </w:rPr>
              <w:t xml:space="preserve"> измерения.</w:t>
            </w:r>
          </w:p>
        </w:tc>
      </w:tr>
      <w:tr w:rsidR="00080A67" w:rsidTr="00080A6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67" w:rsidRDefault="00080A67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>
              <w:rPr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67" w:rsidRDefault="00080A67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80A67" w:rsidRDefault="00080A67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Комплект для тематических и игровых занятий на открытых площадках (</w:t>
            </w:r>
            <w:r>
              <w:rPr>
                <w:color w:val="000000"/>
                <w:lang w:eastAsia="ar-SA"/>
              </w:rPr>
              <w:t>тематический игровой модуль              «Автобус», игровой комплекс «Карета»)</w:t>
            </w:r>
          </w:p>
          <w:p w:rsidR="00080A67" w:rsidRDefault="00080A67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80A67" w:rsidRDefault="00080A67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80A67" w:rsidRDefault="00080A67"/>
          <w:p w:rsidR="00080A67" w:rsidRDefault="00080A67"/>
          <w:p w:rsidR="00080A67" w:rsidRDefault="00080A67"/>
          <w:p w:rsidR="00080A67" w:rsidRDefault="00080A67"/>
          <w:p w:rsidR="00080A67" w:rsidRDefault="00080A67"/>
          <w:p w:rsidR="00080A67" w:rsidRDefault="00080A67"/>
          <w:p w:rsidR="00080A67" w:rsidRDefault="00080A67"/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67" w:rsidRDefault="00080A67">
            <w:pPr>
              <w:ind w:right="-426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Предназначен для организации тематических игровых и сюжетно-ролевых развивающих занятий с элементами подвижных игр, формирующих базовые представления дошкольников о различных профессиях, социальных ролях. В состав комплекта должна входить тематический игровой модуль              «Автобус», игровой комплекс «Карета», предназначенные для организации сюжетно-ролевых       коммуникативных игр для освоения социальных ролей, различных профессий и иных сфер трудовой деятельности. Комплект должен способствовать формированию у детей представления  о     распределении социальных ролей и обязанностей в коллективе и    семье, а также уважительного отношения к старшим. Комплект    должен способствовать организации различной деятельности на   свежем воздухе для поддержки гармоничного развития, укрепления здоровья, становления ценностей здорового образа жизни, исключая физические риски при использовании. Комплект должен соответствовать принципам физической и экологической     безопасности и надежности игровой продукции, что особенно  актуально для уличного оборудования – все элементы должны быть прочными и </w:t>
            </w:r>
            <w:proofErr w:type="spellStart"/>
            <w:r>
              <w:rPr>
                <w:color w:val="000000"/>
                <w:lang w:eastAsia="ar-SA"/>
              </w:rPr>
              <w:t>травмобезопасными</w:t>
            </w:r>
            <w:proofErr w:type="spellEnd"/>
            <w:r>
              <w:rPr>
                <w:color w:val="000000"/>
                <w:lang w:eastAsia="ar-SA"/>
              </w:rPr>
              <w:t xml:space="preserve">, безвредными при ежедневном использовании, должен отсутствовать запах окраски. Комплект     должен быть адаптирован для интенсивной нагрузки в уличных условиях, иметь высокий эксплуатационный ресурс, элементы комплекта не должны быть подвержены потере яркости цветов на солнце. Количество детей, на которое рассчитан комплект: 1 группа Целевые возрастные группы: 3–4, 4–5, 5–6, 6–7 лет. Состав       комплекта (модуля): Игровой модуль «Автобус» - не менее 1 шт., игровой комплекс </w:t>
            </w:r>
            <w:r>
              <w:rPr>
                <w:color w:val="000000"/>
                <w:lang w:eastAsia="ar-SA"/>
              </w:rPr>
              <w:lastRenderedPageBreak/>
              <w:t>«Карета» - не менее 1 шт.</w:t>
            </w:r>
          </w:p>
          <w:p w:rsidR="00080A67" w:rsidRDefault="00080A67">
            <w:pPr>
              <w:ind w:right="-1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1. Игровой модуль "АВТОБУС" - 1 шт. </w:t>
            </w:r>
          </w:p>
          <w:p w:rsidR="00080A67" w:rsidRDefault="00080A67">
            <w:pPr>
              <w:ind w:right="-1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Размеры: 210х110х150 см</w:t>
            </w:r>
          </w:p>
          <w:p w:rsidR="00080A67" w:rsidRDefault="00080A67">
            <w:pPr>
              <w:ind w:right="-1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2. Игровой комплекс "КАРЕТА" - 1 шт. </w:t>
            </w:r>
          </w:p>
          <w:p w:rsidR="00080A67" w:rsidRDefault="00080A67">
            <w:pPr>
              <w:ind w:right="-1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Размеры: 160х120х170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67" w:rsidRDefault="00080A67"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67" w:rsidRDefault="00080A67">
            <w:proofErr w:type="spellStart"/>
            <w:r>
              <w:t>шт</w:t>
            </w:r>
            <w:proofErr w:type="spellEnd"/>
          </w:p>
        </w:tc>
      </w:tr>
    </w:tbl>
    <w:p w:rsidR="00080A67" w:rsidRDefault="00080A67" w:rsidP="00080A67">
      <w:pPr>
        <w:rPr>
          <w:rFonts w:ascii="Verdana" w:eastAsia="Calibri" w:hAnsi="Verdana"/>
          <w:b/>
          <w:kern w:val="0"/>
          <w:sz w:val="20"/>
          <w:szCs w:val="20"/>
          <w:lang w:eastAsia="en-US" w:bidi="ar-SA"/>
        </w:rPr>
      </w:pPr>
    </w:p>
    <w:p w:rsidR="00080A67" w:rsidRDefault="00080A67" w:rsidP="00080A67">
      <w:pPr>
        <w:rPr>
          <w:rFonts w:ascii="Verdana" w:eastAsia="Calibri" w:hAnsi="Verdana"/>
          <w:b/>
          <w:kern w:val="0"/>
          <w:sz w:val="20"/>
          <w:szCs w:val="20"/>
          <w:lang w:eastAsia="en-US" w:bidi="ar-SA"/>
        </w:rPr>
      </w:pPr>
    </w:p>
    <w:p w:rsidR="00080A67" w:rsidRDefault="00080A67" w:rsidP="00080A67">
      <w:pPr>
        <w:rPr>
          <w:rFonts w:ascii="Verdana" w:eastAsia="Calibri" w:hAnsi="Verdana"/>
          <w:b/>
          <w:kern w:val="0"/>
          <w:sz w:val="20"/>
          <w:szCs w:val="20"/>
          <w:lang w:eastAsia="en-US" w:bidi="ar-SA"/>
        </w:rPr>
      </w:pPr>
    </w:p>
    <w:p w:rsidR="00080A67" w:rsidRDefault="00080A67" w:rsidP="00080A67">
      <w:pPr>
        <w:rPr>
          <w:rFonts w:ascii="Verdana" w:eastAsia="Calibri" w:hAnsi="Verdana"/>
          <w:b/>
          <w:kern w:val="0"/>
          <w:sz w:val="20"/>
          <w:szCs w:val="20"/>
          <w:lang w:eastAsia="en-US" w:bidi="ar-SA"/>
        </w:rPr>
      </w:pPr>
    </w:p>
    <w:p w:rsid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Default="00080A67" w:rsidP="00080A67">
      <w:pPr>
        <w:rPr>
          <w:lang w:eastAsia="en-US" w:bidi="ar-SA"/>
        </w:rPr>
      </w:pPr>
    </w:p>
    <w:p w:rsidR="00080A67" w:rsidRPr="00080A67" w:rsidRDefault="00080A67" w:rsidP="00080A67">
      <w:pPr>
        <w:rPr>
          <w:lang w:eastAsia="en-US" w:bidi="ar-SA"/>
        </w:rPr>
      </w:pPr>
    </w:p>
    <w:p w:rsidR="00080A67" w:rsidRDefault="00080A67" w:rsidP="00080A67">
      <w:pPr>
        <w:pStyle w:val="a6"/>
        <w:keepNext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Условия выполнения работ: </w:t>
      </w:r>
    </w:p>
    <w:p w:rsidR="00080A67" w:rsidRDefault="00080A67" w:rsidP="00080A67">
      <w:pPr>
        <w:pStyle w:val="2"/>
        <w:keepNext/>
        <w:widowControl w:val="0"/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Рекомендовано применять ручной и механический труд. Технология и методы производства работ – в соответствии с действующими нормами. </w:t>
      </w:r>
    </w:p>
    <w:p w:rsidR="00080A67" w:rsidRDefault="00080A67" w:rsidP="00080A67">
      <w:pPr>
        <w:keepNext/>
        <w:widowControl w:val="0"/>
        <w:spacing w:line="240" w:lineRule="auto"/>
        <w:ind w:firstLine="709"/>
        <w:jc w:val="both"/>
      </w:pPr>
      <w:r>
        <w:t xml:space="preserve">Работы производятся только в отдельной зоне работ. Работы производятся минимально необходимым количеством технических средств и механизмов, что нужно для сокращения шума, пыли, загрязнения воздуха. </w:t>
      </w:r>
      <w:r>
        <w:rPr>
          <w:b/>
        </w:rPr>
        <w:t>После окончания работ производится приведение в порядок рабочей зоны, уборка мусора, и т.д.</w:t>
      </w:r>
      <w:r>
        <w:t xml:space="preserve"> Поставщик обязан соблюдать технологию выполнения работ, регламентированных </w:t>
      </w:r>
      <w:proofErr w:type="spellStart"/>
      <w:r>
        <w:t>СниП</w:t>
      </w:r>
      <w:proofErr w:type="spellEnd"/>
      <w:r>
        <w:t>, а также требования к качеству материалов согласно ГОСТам. Экологические мероприятия – в соответствии с законодательными и нормативными правовыми актами РФ, а также предписаниями надзорных органов.</w:t>
      </w:r>
    </w:p>
    <w:p w:rsidR="00080A67" w:rsidRDefault="00080A67" w:rsidP="00080A67">
      <w:pPr>
        <w:keepNext/>
        <w:widowControl w:val="0"/>
        <w:tabs>
          <w:tab w:val="left" w:pos="993"/>
          <w:tab w:val="left" w:pos="1134"/>
        </w:tabs>
        <w:spacing w:line="240" w:lineRule="auto"/>
        <w:ind w:firstLine="709"/>
        <w:jc w:val="both"/>
      </w:pPr>
      <w:r>
        <w:t>Исключительно с письменного согласия Покупателя привлекать других лиц (субподрядчиков) на осуществление видов деятельности, для выполнения отдельных видов работ, оказания услуг и иных действий по данному договору</w:t>
      </w:r>
    </w:p>
    <w:p w:rsidR="00080A67" w:rsidRDefault="00080A67" w:rsidP="00080A67">
      <w:pPr>
        <w:pStyle w:val="a6"/>
        <w:keepNext/>
        <w:widowControl w:val="0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по выполнению сопутствующих работ:</w:t>
      </w:r>
    </w:p>
    <w:p w:rsidR="00080A67" w:rsidRDefault="00080A67" w:rsidP="00080A67">
      <w:pPr>
        <w:keepNext/>
        <w:widowControl w:val="0"/>
        <w:tabs>
          <w:tab w:val="left" w:pos="993"/>
          <w:tab w:val="left" w:pos="1134"/>
        </w:tabs>
        <w:spacing w:line="240" w:lineRule="auto"/>
        <w:ind w:left="1260"/>
        <w:contextualSpacing/>
        <w:jc w:val="both"/>
      </w:pPr>
      <w:r>
        <w:t xml:space="preserve"> Установка информационных табличек;</w:t>
      </w:r>
    </w:p>
    <w:p w:rsidR="00080A67" w:rsidRDefault="00080A67" w:rsidP="00080A67">
      <w:pPr>
        <w:keepNext/>
        <w:widowControl w:val="0"/>
        <w:tabs>
          <w:tab w:val="left" w:pos="993"/>
          <w:tab w:val="left" w:pos="1134"/>
        </w:tabs>
        <w:spacing w:line="240" w:lineRule="auto"/>
        <w:jc w:val="both"/>
      </w:pPr>
      <w:r>
        <w:t xml:space="preserve">            Выставлять временные ограждения в местах производства работ (где это     требуется положениями по технике безопасности);</w:t>
      </w:r>
    </w:p>
    <w:p w:rsidR="00080A67" w:rsidRDefault="00080A67" w:rsidP="00080A67">
      <w:pPr>
        <w:keepNext/>
        <w:widowControl w:val="0"/>
        <w:tabs>
          <w:tab w:val="left" w:pos="993"/>
          <w:tab w:val="left" w:pos="1134"/>
        </w:tabs>
        <w:spacing w:line="240" w:lineRule="auto"/>
        <w:jc w:val="both"/>
      </w:pPr>
      <w:r>
        <w:t xml:space="preserve">            Своевременно вывозить мусор с мест производства работ;</w:t>
      </w:r>
    </w:p>
    <w:p w:rsidR="00080A67" w:rsidRDefault="00080A67" w:rsidP="00080A67">
      <w:pPr>
        <w:keepNext/>
        <w:widowControl w:val="0"/>
        <w:tabs>
          <w:tab w:val="left" w:pos="993"/>
          <w:tab w:val="left" w:pos="1134"/>
        </w:tabs>
        <w:spacing w:line="240" w:lineRule="auto"/>
        <w:jc w:val="both"/>
      </w:pPr>
      <w:r>
        <w:t xml:space="preserve">            Обеспечить силами Поставщика перемещение транспортных средств,      мешающих проведению работ.</w:t>
      </w:r>
    </w:p>
    <w:p w:rsidR="00080A67" w:rsidRDefault="00080A67" w:rsidP="00080A67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 w:val="0"/>
        <w:spacing w:line="240" w:lineRule="auto"/>
        <w:contextualSpacing/>
        <w:jc w:val="both"/>
      </w:pPr>
      <w:r>
        <w:rPr>
          <w:b/>
        </w:rPr>
        <w:t>Требования к техническим характеристикам работ и материалов:</w:t>
      </w:r>
    </w:p>
    <w:p w:rsidR="00080A67" w:rsidRDefault="00080A67" w:rsidP="00080A67">
      <w:pPr>
        <w:keepNext/>
        <w:widowControl w:val="0"/>
        <w:tabs>
          <w:tab w:val="left" w:pos="993"/>
        </w:tabs>
        <w:spacing w:line="240" w:lineRule="auto"/>
        <w:ind w:firstLine="709"/>
        <w:jc w:val="both"/>
      </w:pPr>
      <w:r>
        <w:t>Работы выполнять согласно требованиям норм:</w:t>
      </w:r>
    </w:p>
    <w:p w:rsidR="00080A67" w:rsidRDefault="00080A67" w:rsidP="00080A67">
      <w:pPr>
        <w:pStyle w:val="a6"/>
        <w:keepNext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52167-2012 «Оборудование и покрытия детских игровых площадок. Безопасность конструкции и методы испытаний качелей. Общие требования»;</w:t>
      </w:r>
    </w:p>
    <w:p w:rsidR="00080A67" w:rsidRDefault="00080A67" w:rsidP="00080A67">
      <w:pPr>
        <w:pStyle w:val="a6"/>
        <w:keepNext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52168-2012 «Оборудование и покрытия детских игровых площадок. Безопасность конструкции и методы испытаний горок. Общие требования»;</w:t>
      </w:r>
    </w:p>
    <w:p w:rsidR="00080A67" w:rsidRDefault="00080A67" w:rsidP="00080A67">
      <w:pPr>
        <w:pStyle w:val="a6"/>
        <w:keepNext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52169-2012 «Оборудование и покрытия детских игровых площадок. Безопасность конструкции и методы испытаний. Общие требования»;</w:t>
      </w:r>
    </w:p>
    <w:p w:rsidR="00080A67" w:rsidRDefault="00080A67" w:rsidP="00080A67">
      <w:pPr>
        <w:pStyle w:val="a6"/>
        <w:keepNext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СНиП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-10-75 «Благоустройство территории»;</w:t>
      </w:r>
    </w:p>
    <w:p w:rsidR="00080A67" w:rsidRDefault="00080A67" w:rsidP="00080A67">
      <w:pPr>
        <w:pStyle w:val="a6"/>
        <w:keepNext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СНиП 12-03-2001 «Безопасность труда в строительстве. Общие требования»;</w:t>
      </w:r>
    </w:p>
    <w:p w:rsidR="00080A67" w:rsidRDefault="00080A67" w:rsidP="00080A67">
      <w:pPr>
        <w:pStyle w:val="a6"/>
        <w:keepNext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СНиП 12-04-2002 «Безопасность труда в строительстве. Строительное производство»;</w:t>
      </w:r>
    </w:p>
    <w:p w:rsidR="00080A67" w:rsidRDefault="00080A67" w:rsidP="00080A67">
      <w:pPr>
        <w:pStyle w:val="a6"/>
        <w:keepNext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СНиП 12-01-2004 «Организация строительства» </w:t>
      </w:r>
    </w:p>
    <w:p w:rsidR="00080A67" w:rsidRDefault="00080A67" w:rsidP="00080A67">
      <w:pPr>
        <w:pStyle w:val="a6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Игровое и спортивное оборудование детских площадок должно соответствовать требованиям установленным Приказом Министерства регионального развития РФ от 27 декабря 2011 г. N 613 «Об утверждении методических рекомендации по разработке норм и правил по благоустройству территории муниципальных образований». </w:t>
      </w:r>
    </w:p>
    <w:p w:rsidR="00080A67" w:rsidRDefault="00080A67" w:rsidP="00080A67">
      <w:pPr>
        <w:keepNext/>
        <w:widowControl w:val="0"/>
        <w:tabs>
          <w:tab w:val="left" w:pos="993"/>
          <w:tab w:val="left" w:pos="1134"/>
        </w:tabs>
        <w:spacing w:line="240" w:lineRule="auto"/>
        <w:ind w:firstLine="709"/>
        <w:jc w:val="both"/>
        <w:rPr>
          <w:b/>
        </w:rPr>
      </w:pPr>
      <w:r>
        <w:t>Каждое изделие должно сопровождаться техническим паспортом, в котором должно быть указано: основные сведения об оборудовании, основные технические данные, комплексность, гарантийные обязательства, инструкция по монтажу, правила безопасной эксплуатации.</w:t>
      </w:r>
    </w:p>
    <w:p w:rsidR="00080A67" w:rsidRDefault="00080A67" w:rsidP="00080A67">
      <w:pPr>
        <w:pStyle w:val="a6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Требования к применяемым материалам для детского игрового оборудования и условиям его обработки:</w:t>
      </w:r>
    </w:p>
    <w:p w:rsidR="00080A67" w:rsidRDefault="00080A67" w:rsidP="00080A67">
      <w:pPr>
        <w:pStyle w:val="ConsPlusNormal0"/>
        <w:keepNext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деревянное оборудование,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</w:r>
    </w:p>
    <w:p w:rsidR="00080A67" w:rsidRDefault="00080A67" w:rsidP="00080A67">
      <w:pPr>
        <w:pStyle w:val="ConsPlusNormal0"/>
        <w:keepNext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металл следует применять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металлопластик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 травмирует, не ржавеет, морозоустойчив);</w:t>
      </w:r>
    </w:p>
    <w:p w:rsidR="00080A67" w:rsidRDefault="00080A67" w:rsidP="00080A67">
      <w:pPr>
        <w:pStyle w:val="ConsPlusNormal0"/>
        <w:keepNext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бетонные и железобетонные элементы оборудования следует выполнять из бетона марки 300, морозостойкостью 150, иметь гладкие поверхности;</w:t>
      </w:r>
    </w:p>
    <w:p w:rsidR="00080A67" w:rsidRDefault="00080A67" w:rsidP="00080A67">
      <w:pPr>
        <w:pStyle w:val="ConsPlusNormal0"/>
        <w:keepNext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из пластика и полимеров следует выполнять с гладкой поверхностью и яркой, чистой цветовой гаммой окраски, не выцветающей от воздействия климатических факторов.</w:t>
      </w:r>
    </w:p>
    <w:p w:rsidR="00080A67" w:rsidRDefault="00080A67" w:rsidP="00080A67">
      <w:pPr>
        <w:pStyle w:val="ConsPlusNormal0"/>
        <w:keepNext/>
        <w:tabs>
          <w:tab w:val="left" w:pos="993"/>
          <w:tab w:val="left" w:pos="1134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Требования к устройству детского игрового оборудования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0A67" w:rsidRDefault="00080A67" w:rsidP="00080A67">
      <w:pPr>
        <w:pStyle w:val="Default"/>
        <w:keepNext/>
        <w:widowControl w:val="0"/>
        <w:tabs>
          <w:tab w:val="left" w:pos="1134"/>
        </w:tabs>
        <w:ind w:firstLine="709"/>
        <w:jc w:val="both"/>
      </w:pPr>
      <w:r>
        <w:t xml:space="preserve">Доставка, погрузо-разгрузочные работы, сборка и установка Оборудования осуществляются силами и за счет Поставщика. </w:t>
      </w:r>
    </w:p>
    <w:p w:rsidR="00080A67" w:rsidRDefault="00080A67" w:rsidP="00080A67">
      <w:pPr>
        <w:pStyle w:val="Default"/>
        <w:keepNext/>
        <w:widowControl w:val="0"/>
        <w:tabs>
          <w:tab w:val="left" w:pos="1134"/>
        </w:tabs>
        <w:ind w:firstLine="709"/>
        <w:jc w:val="both"/>
      </w:pPr>
      <w:r>
        <w:t xml:space="preserve">Установка должна осуществляться с учетом местных климатических условий и требований, а также противопожарных, санитарно-гигиенических, экологических и других норм, действующих на территории Российской Федерации. </w:t>
      </w:r>
    </w:p>
    <w:p w:rsidR="00080A67" w:rsidRDefault="00080A67" w:rsidP="00080A67">
      <w:pPr>
        <w:pStyle w:val="Default"/>
        <w:keepNext/>
        <w:widowControl w:val="0"/>
        <w:tabs>
          <w:tab w:val="left" w:pos="1134"/>
        </w:tabs>
        <w:ind w:firstLine="709"/>
        <w:jc w:val="both"/>
        <w:rPr>
          <w:color w:val="FF0000"/>
          <w:u w:val="single"/>
        </w:rPr>
      </w:pPr>
      <w:r>
        <w:t xml:space="preserve">Поставщик осуществляет мероприятия по планировке территории перед установкой Оборудования на территории детской площадки, а также </w:t>
      </w:r>
      <w:r>
        <w:rPr>
          <w:color w:val="auto"/>
        </w:rPr>
        <w:t xml:space="preserve">осуществляет установку Игрового комплекса на детской площадке согласно схем расположения малых архитектурных форм по согласованию с Покупателем. </w:t>
      </w:r>
    </w:p>
    <w:p w:rsidR="00080A67" w:rsidRDefault="00080A67" w:rsidP="00080A67">
      <w:pPr>
        <w:keepNext/>
        <w:widowControl w:val="0"/>
        <w:tabs>
          <w:tab w:val="num" w:pos="928"/>
          <w:tab w:val="left" w:pos="1134"/>
        </w:tabs>
        <w:spacing w:line="240" w:lineRule="auto"/>
        <w:ind w:firstLine="709"/>
        <w:jc w:val="both"/>
      </w:pPr>
      <w:r>
        <w:t>Все детали оборудования должны крепиться на фундаменты.</w:t>
      </w:r>
    </w:p>
    <w:p w:rsidR="00080A67" w:rsidRDefault="00080A67" w:rsidP="00080A67">
      <w:pPr>
        <w:pStyle w:val="Default"/>
        <w:keepNext/>
        <w:widowControl w:val="0"/>
        <w:tabs>
          <w:tab w:val="left" w:pos="1134"/>
        </w:tabs>
        <w:ind w:firstLine="709"/>
        <w:jc w:val="both"/>
      </w:pPr>
      <w:r>
        <w:t xml:space="preserve">В процессе установки Оборудования Поставщик предъявляет Покупателю объемы скрытых работ с оформлением соответствующих типовых актов на скрытые работы. Без оформления и подписания таких актов последующая установка Оборудования не допускается. </w:t>
      </w:r>
    </w:p>
    <w:p w:rsidR="00080A67" w:rsidRDefault="00080A67" w:rsidP="00080A67">
      <w:pPr>
        <w:pStyle w:val="Default"/>
        <w:keepNext/>
        <w:widowControl w:val="0"/>
        <w:tabs>
          <w:tab w:val="left" w:pos="1134"/>
        </w:tabs>
        <w:ind w:firstLine="709"/>
        <w:jc w:val="both"/>
      </w:pPr>
      <w:r>
        <w:t xml:space="preserve">В процессе установки Оборудования Поставщик в целях безопасности выполняет необходимые мероприятия по обустройству места установки Оборудования ограждающими устройствами. </w:t>
      </w:r>
    </w:p>
    <w:p w:rsidR="00080A67" w:rsidRDefault="00080A67" w:rsidP="00080A67">
      <w:pPr>
        <w:pStyle w:val="a3"/>
        <w:keepNext/>
        <w:widowControl w:val="0"/>
        <w:tabs>
          <w:tab w:val="left" w:pos="1134"/>
        </w:tabs>
        <w:spacing w:after="0"/>
        <w:ind w:left="0" w:firstLine="709"/>
        <w:contextualSpacing/>
      </w:pPr>
      <w:r>
        <w:t>По окончании установки Оборудования Поставщик должен вывезти принадлежащее ему оборудование, инвентарь, произвести уборку места установки от строительного мусора,</w:t>
      </w:r>
      <w:r>
        <w:tab/>
      </w:r>
    </w:p>
    <w:p w:rsidR="00080A67" w:rsidRDefault="00080A67" w:rsidP="00080A67">
      <w:pPr>
        <w:pStyle w:val="a3"/>
        <w:keepNext/>
        <w:widowControl w:val="0"/>
        <w:tabs>
          <w:tab w:val="left" w:pos="1134"/>
        </w:tabs>
        <w:spacing w:after="0"/>
        <w:ind w:left="709"/>
        <w:contextualSpacing/>
      </w:pPr>
      <w:r>
        <w:rPr>
          <w:b/>
        </w:rPr>
        <w:t>7. Требования к качеству выполняемых работ</w:t>
      </w:r>
    </w:p>
    <w:p w:rsidR="00080A67" w:rsidRDefault="00080A67" w:rsidP="00080A67">
      <w:pPr>
        <w:keepNext/>
        <w:widowControl w:val="0"/>
        <w:tabs>
          <w:tab w:val="left" w:pos="1134"/>
        </w:tabs>
        <w:spacing w:line="240" w:lineRule="auto"/>
        <w:ind w:firstLine="709"/>
        <w:jc w:val="both"/>
      </w:pPr>
      <w:r>
        <w:t xml:space="preserve">На применяемые материалы должны быть представлены и переданы Покупателю соответствующие сертификаты, технические паспорта и иные документы, удостоверяющие их качество, происхождение и срок годности. </w:t>
      </w:r>
    </w:p>
    <w:p w:rsidR="00080A67" w:rsidRDefault="00080A67" w:rsidP="00080A67">
      <w:pPr>
        <w:keepNext/>
        <w:widowControl w:val="0"/>
        <w:tabs>
          <w:tab w:val="left" w:pos="1134"/>
        </w:tabs>
        <w:spacing w:line="240" w:lineRule="auto"/>
        <w:ind w:firstLine="709"/>
        <w:jc w:val="both"/>
      </w:pPr>
      <w:r>
        <w:t>Работы выполняются в соответствии с требованиями СНиП III-10-75 «Благоустройство территории».</w:t>
      </w:r>
    </w:p>
    <w:p w:rsidR="00080A67" w:rsidRDefault="00080A67" w:rsidP="00080A67">
      <w:pPr>
        <w:pStyle w:val="a6"/>
        <w:keepNext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Требования к безопасности работ</w:t>
      </w:r>
    </w:p>
    <w:p w:rsidR="00080A67" w:rsidRDefault="00080A67" w:rsidP="00080A67">
      <w:pPr>
        <w:keepNext/>
        <w:widowControl w:val="0"/>
        <w:tabs>
          <w:tab w:val="left" w:pos="1134"/>
        </w:tabs>
        <w:spacing w:line="240" w:lineRule="auto"/>
        <w:ind w:firstLine="709"/>
        <w:jc w:val="both"/>
      </w:pPr>
      <w:r>
        <w:t xml:space="preserve">Поставщик обеспечивает выполнение необходимых мероприятий по технике безопасности, пожарной безопасности, хранению материалов, охране труда, эксплуатации строительных машин и механизмов, охране окружающей среды, зеленых насаждений в соответствии с действующим законодательством. Ответственность за соблюдение правил техники безопасности несет Подрядчик. </w:t>
      </w:r>
    </w:p>
    <w:p w:rsidR="00080A67" w:rsidRDefault="00080A67" w:rsidP="00080A67">
      <w:pPr>
        <w:pStyle w:val="a6"/>
        <w:keepNext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Требования к сроку и объему предоставления гарантий качества</w:t>
      </w:r>
    </w:p>
    <w:p w:rsidR="00080A67" w:rsidRDefault="00080A67" w:rsidP="00080A67">
      <w:pPr>
        <w:keepNext/>
        <w:widowControl w:val="0"/>
        <w:tabs>
          <w:tab w:val="left" w:pos="1134"/>
        </w:tabs>
        <w:spacing w:line="240" w:lineRule="auto"/>
        <w:ind w:firstLine="709"/>
        <w:jc w:val="both"/>
      </w:pPr>
      <w:r>
        <w:lastRenderedPageBreak/>
        <w:t>Поставщик обязан предоставить срок гарантии нормального функционирования результатов работы на 3 года (гарантия визуального контроля, в местах производства ремонтных работ) со дня подписания сторонами акта выполненных работ, за исключением случаев преднамеренного повреждения указанных результатов со стороны Покупателя или третьих лиц.</w:t>
      </w:r>
    </w:p>
    <w:p w:rsidR="00080A67" w:rsidRDefault="00080A67" w:rsidP="00080A67">
      <w:pPr>
        <w:keepNext/>
        <w:widowControl w:val="0"/>
        <w:tabs>
          <w:tab w:val="left" w:pos="1134"/>
        </w:tabs>
        <w:spacing w:line="240" w:lineRule="auto"/>
        <w:ind w:firstLine="709"/>
        <w:jc w:val="both"/>
      </w:pPr>
      <w:r>
        <w:t>Гарантия качества распространяется на все виды работ, выполненные Поставщиком по договору.</w:t>
      </w:r>
    </w:p>
    <w:p w:rsidR="00080A67" w:rsidRDefault="00080A67" w:rsidP="00080A67">
      <w:pPr>
        <w:keepNext/>
        <w:widowControl w:val="0"/>
        <w:tabs>
          <w:tab w:val="left" w:pos="1134"/>
        </w:tabs>
        <w:spacing w:line="240" w:lineRule="auto"/>
        <w:ind w:firstLine="709"/>
        <w:jc w:val="both"/>
      </w:pPr>
      <w:r>
        <w:t xml:space="preserve">Устранение всех видов недостатков и дефектов, выявленных в гарантийный период, осуществляется силами Поставщика. </w:t>
      </w:r>
    </w:p>
    <w:p w:rsidR="00080A67" w:rsidRDefault="00080A67" w:rsidP="00080A67">
      <w:pPr>
        <w:keepNext/>
        <w:widowControl w:val="0"/>
        <w:tabs>
          <w:tab w:val="left" w:pos="1134"/>
        </w:tabs>
        <w:spacing w:line="240" w:lineRule="auto"/>
        <w:ind w:firstLine="709"/>
        <w:jc w:val="both"/>
      </w:pPr>
      <w:r>
        <w:t>В случае выявления дефектов отдельных конструктивных элементов, оборудования, сооружений или несоответствия характеристик используемых материалов в пределах гарантийного срока, Поставщик должен устранить такие дефекты и несоответствия в течение 10-ти рабочих дней со дня получения соответствующих требований Покупателя. Гарантийный срок на такие элементы, оборудование или часть сооружения устанавливается вновь с момента (даты) завершения работ по устранению дефекта и оформляется соответствующим актом.</w:t>
      </w:r>
    </w:p>
    <w:p w:rsidR="00080A67" w:rsidRDefault="00080A67" w:rsidP="00080A67">
      <w:pPr>
        <w:suppressAutoHyphens w:val="0"/>
        <w:spacing w:after="200" w:line="276" w:lineRule="auto"/>
        <w:rPr>
          <w:rFonts w:eastAsia="Calibri"/>
          <w:kern w:val="0"/>
          <w:lang w:eastAsia="en-US" w:bidi="ar-SA"/>
        </w:rPr>
      </w:pPr>
    </w:p>
    <w:p w:rsidR="00080A67" w:rsidRDefault="00080A67" w:rsidP="00080A67">
      <w:pPr>
        <w:suppressAutoHyphens w:val="0"/>
        <w:spacing w:after="200" w:line="276" w:lineRule="auto"/>
        <w:rPr>
          <w:rFonts w:eastAsia="Calibri"/>
          <w:kern w:val="0"/>
          <w:lang w:eastAsia="en-US" w:bidi="ar-SA"/>
        </w:rPr>
      </w:pPr>
    </w:p>
    <w:p w:rsidR="00080A67" w:rsidRDefault="00080A67" w:rsidP="00080A67">
      <w:pPr>
        <w:suppressAutoHyphens w:val="0"/>
        <w:spacing w:after="200" w:line="276" w:lineRule="auto"/>
        <w:rPr>
          <w:rFonts w:eastAsia="Calibri"/>
          <w:kern w:val="0"/>
          <w:lang w:eastAsia="en-US" w:bidi="ar-SA"/>
        </w:rPr>
      </w:pPr>
    </w:p>
    <w:p w:rsidR="00080A67" w:rsidRDefault="00080A67" w:rsidP="00080A67">
      <w:pPr>
        <w:pStyle w:val="a5"/>
        <w:rPr>
          <w:rFonts w:ascii="Verdana" w:hAnsi="Verdana"/>
          <w:b/>
          <w:sz w:val="20"/>
          <w:szCs w:val="20"/>
        </w:rPr>
      </w:pPr>
    </w:p>
    <w:p w:rsidR="00F67DF6" w:rsidRDefault="00F67DF6"/>
    <w:sectPr w:rsidR="00F67DF6" w:rsidSect="00080A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E0895"/>
    <w:multiLevelType w:val="hybridMultilevel"/>
    <w:tmpl w:val="C6122CD8"/>
    <w:lvl w:ilvl="0" w:tplc="1F44E692">
      <w:start w:val="1"/>
      <w:numFmt w:val="decimal"/>
      <w:lvlText w:val="%1."/>
      <w:lvlJc w:val="left"/>
      <w:pPr>
        <w:ind w:left="1637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B463A"/>
    <w:multiLevelType w:val="hybridMultilevel"/>
    <w:tmpl w:val="9948D68E"/>
    <w:lvl w:ilvl="0" w:tplc="767C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021F3C"/>
    <w:multiLevelType w:val="hybridMultilevel"/>
    <w:tmpl w:val="11BA680A"/>
    <w:lvl w:ilvl="0" w:tplc="767C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A67"/>
    <w:rsid w:val="00080A67"/>
    <w:rsid w:val="00F67DF6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BE464-B52F-4ACE-9E00-F25C38D3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A6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80A67"/>
    <w:pPr>
      <w:spacing w:after="120"/>
      <w:ind w:left="283"/>
    </w:pPr>
    <w:rPr>
      <w:rFonts w:cs="Mangal"/>
      <w:szCs w:val="21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80A67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2">
    <w:name w:val="Body Text Indent 2"/>
    <w:basedOn w:val="a"/>
    <w:link w:val="20"/>
    <w:semiHidden/>
    <w:unhideWhenUsed/>
    <w:rsid w:val="00080A67"/>
    <w:pPr>
      <w:suppressAutoHyphens w:val="0"/>
      <w:spacing w:after="120" w:line="480" w:lineRule="auto"/>
      <w:ind w:left="283"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20">
    <w:name w:val="Основной текст с отступом 2 Знак"/>
    <w:basedOn w:val="a0"/>
    <w:link w:val="2"/>
    <w:semiHidden/>
    <w:rsid w:val="00080A6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080A6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080A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customStyle="1" w:styleId="Default">
    <w:name w:val="Default"/>
    <w:rsid w:val="00080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080A6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080A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2020-04-24T12:09:00Z</dcterms:created>
  <dcterms:modified xsi:type="dcterms:W3CDTF">2020-04-24T13:58:00Z</dcterms:modified>
</cp:coreProperties>
</file>