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01.08.01.03.04.02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19.20.21.125</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Бензин АИ-92-К5</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14 000,00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01.08.01.03.04.03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19.20.21.135</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Бензин АИ-95-К5</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7 000,00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01.08.01.10.05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19.20.21.300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Дизельное топливо</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1 000,00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Тонна;^метрическая тонна (1000 кг)</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АО «Гжельская УК»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А. Г. Тарасов</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товара</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мес. (от окончания)</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Бензин АИ-92-К5</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Бензин АИ-95-К5</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Дизельное топливо</w:t>
                            </w:r>
                          </w:sdtContent>
                        </w:sdt>
                        <w:r w:rsidRPr="00654BCB" w:rsidR="009A214E">
                          <w:rPr>
                            <w:lang w:val="en-US"/>
                          </w:rPr>
                          <w:t xml:space="preserve">; </w:t>
                        </w:r>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1 мес.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31.07.2021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топливо</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737781043"/>
                        <w:placeholder>
                          <w:docPart w:val="42F39D2A595A4CEBA3968821EE4E8DE4"/>
                        </w:placeholder>
                        <w:docPartList>
                          <w:docPartGallery w:val="AutoText"/>
                        </w:docPartList>
                      </w:sdtPr>
                      <w:sdtEndPr/>
                      <w:sdtContent>
                        <w:r w:rsidRPr="002D335B" w:rsidR="009A214E">
                          <w:t>Аванс</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16356623"/>
                        <w:placeholder>
                          <w:docPart w:val="D527DDAD9786435D8E4619915D63749B"/>
                        </w:placeholder>
                        <w:docPartList>
                          <w:docPartGallery w:val="AutoText"/>
                        </w:docPartList>
                      </w:sdtPr>
                      <w:sdtEndPr/>
                      <w:sdtContent>
                        <w:sdt>
                          <w:sdtPr>
                            <w:alias w:val="Simple"/>
                            <w:tag w:val="Simple"/>
                            <w:id w:val="247700812"/>
                            <w:placeholder>
                              <w:docPart w:val="643BA36C6B7A460FB66F8C2189758B48"/>
                            </w:placeholder>
                            <w:text/>
                          </w:sdtPr>
                          <w:sdtEndPr/>
                          <w:sdtContent>
                            <w:r w:rsidRPr="00092FAC" w:rsidR="009A214E">
                              <w:rPr>
                                <w:lang w:val="en-US"/>
                              </w:rPr>
                              <w:t/>
                            </w:r>
                          </w:sdtContent>
                        </w:sdt>
                        <w:sdt>
                          <w:sdtPr>
                            <w:alias w:val="Simple"/>
                            <w:tag w:val="Simple"/>
                            <w:id w:val="-1472433984"/>
                            <w:placeholder>
                              <w:docPart w:val="85946355B22249D582171C020F2E4662"/>
                            </w:placeholder>
                            <w:showingPlcHdr/>
                            <w:docPartList>
                              <w:docPartGallery w:val="AutoText"/>
                            </w:docPartList>
                          </w:sdtPr>
                          <w:sdtEndPr/>
                          <w:sdtContent>
                            <w:r w:rsidRPr="00827751" w:rsidR="009A214E">
                              <w:t>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«Счёт на оплату» (Поставка товара)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8C48D8" w14:paraId="4667003C" w14:textId="77777777">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7880DF6D"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14:paraId="03084C71" w14:textId="77777777">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740B5901"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706937A1"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8C48D8" w14:paraId="0F881E9E"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14:paraId="72886F1E"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8C48D8" w14:paraId="726271BF" w14:textId="7777777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Акционерное общество «Гжельская управляющая компания»</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8C48D8" w14:paraId="45B2AC4A"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140155, Московская область, Раменский район, пос. Электроизолятор д55</w:t>
                        </w:r>
                      </w:sdtContent>
                    </w:sdt>
                  </w:p>
                </w:tc>
              </w:tr>
            </w:tbl>
            <w:p w:rsidRPr="005D2CB0" w:rsidR="00094D6D" w:rsidP="005D2CB0" w:rsidRDefault="008C48D8" w14:paraId="771BC2BD" w14:textId="77777777">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АО «Гжельская УК»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А. Г. Тарасов</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за топливо</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товара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5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5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товара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p w:rsidRPr="006C1B4A" w:rsidR="006C1B4A" w:rsidP="006C1B4A" w:rsidRDefault="006C1B4A" w14:paraId="70F57CA8" w14:textId="77777777"/>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14:paraId="14BC1FB0" w14:textId="77777777">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14:paraId="3EEB3869" w14:textId="77777777">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14:paraId="101850B9"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14:paraId="0FDD7C03" w14:textId="77777777">
                        <w:pPr>
                          <w:pStyle w:val="19"/>
                        </w:pPr>
                        <w:r>
                          <w:t>Наименование документа</w:t>
                        </w:r>
                      </w:p>
                    </w:tc>
                  </w:tr>
                  <w:tr w:rsidRPr="0020446F" w:rsidR="00A43373" w:rsidTr="00A43373" w14:paraId="4B09F03F"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8C48D8" w14:paraId="60DFEC42" w14:textId="77777777">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товара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8C48D8" w14:paraId="09779132" w14:textId="77777777">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8C48D8" w14:paraId="57528CDB" w14:textId="77777777">
                  <w:pPr>
                    <w:rPr>
                      <w:lang w:val="en-US"/>
                    </w:rPr>
                  </w:pPr>
                </w:p>
              </w:sdtContent>
            </w:sdt>
          </w:sdtContent>
        </w:sdt>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АО «Гжельская УК»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А. Г. Тарасов</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АО «Гжельская УК»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А. Г. Тарасов</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001577-20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