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Комплект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Комплект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Комплект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Комплект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Комплект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Комплект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Рулон</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01.21.01.02.42.35</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Упаковка для стерилизации,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Упаковка для стерилизации,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расходных материалов для обеспечения санитарно-эпидемиологического режима</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48 355,98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1 645,34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143 200,00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1 656,00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271 737,45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46 393,30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43 350,00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11 766,70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5 733,00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35 866,00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4 093,30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13 616,50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17 983,50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69 000,00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245 598,00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16 166,50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33 033,00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14 793,40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138 049,50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341 799,00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55 273,40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118 700,00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1 092,33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31 440,00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2 185,34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118 000,00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4 356,00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179 315,50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17 854,68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103 134,00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123 253,40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147 999,00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102 467,00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213 068,00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322 800,00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514 000,00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30 440,10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Упаковка для стерилизации, одноразового использования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1 698,68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расходных материалов для обеспечения санитарно-эпидемиологического режима</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обеспечения санитарно-эпидемиологического режима)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расходных материалов для обеспечения санитарно-эпидемиологического режима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расходных материалов для обеспечения санитарно-эпидемиологического режима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расходных материалов для обеспечения санитарно-эпидемиологического режима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расходных материалов для обеспечения санитарно-эпидемиологического режима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расходных материалов для обеспечения санитарно-эпидемиологического режима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114599-22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