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«16» февраля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организации (проведению) масленичных гуляний для нужд МАУ «Объединенная дирекция парков»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организации (проведению) масленичных гуляний для нужд МАУ «Объединенная дирекция парков»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br/>
              <w:t>График оказания услуг: В соответствии с Техническим заданием;</w:t>
              <w:br/>
              <w:t>Условия оказания услуг: В соответствии с Техническим заданием</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326 333 (триста двадцать шесть тысяч триста тридцать три) рубля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326 333 рубля 33 копейки</w:t>
              <w:br/>
              <w:t/>
              <w:br/>
              <w:t>ОКПД2: 90.02.12.000 Услуги по организации показа спектаклей, концертов и иных зрелищных программ (произведений исполнительского искусства), включая мероприятия по продвижению исполнительских искусств;</w:t>
              <w:br/>
              <w:t/>
              <w:br/>
              <w:t>ОКВЭД2: 90.03 Деятельность в области художественного творчества;</w:t>
              <w:br/>
              <w:t/>
              <w:br/>
              <w:t>Код КОЗ: 02.08.02.01 Услуги по организации концертов;</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банковских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«26» февраля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февраля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марта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«02»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«02»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