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Обухова Татьяна Анатольевна</w:t>
        <w:br/>
        <w:t>Заведующий</w:t>
        <w:b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br/>
        <w:t>«27»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674 683 (шестьсот семьдесят четыре тысячи шестьсот восемьдесят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674 683 рубля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10.51.52.211 Сметана от 10,0 % до 17,0 %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01.13.06.09.01.01 Сметана с массовой долей жира от 10,0 % до 17,0 %;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33 734 (тридцать три тысячи семьсот тридцать четыре) рубля 15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br/>
              <w:t>ИНН: 5045025300</w:t>
              <w:br/>
              <w:t>КПП: 504501001</w:t>
              <w:br/>
              <w:t>ОКПО: 53946697</w:t>
              <w:br/>
              <w:t>ОГРН: 1025005919400</w:t>
              <w:br/>
              <w:t>ОКТМО: </w:t>
              <w:br/>
              <w:t/>
              <w:br/>
              <w:t>Телефон: 7-496-6490592</w:t>
              <w:br/>
              <w:t>Почта: tatyanaobuhova-zorenka@yandex.ru</w:t>
              <w:br/>
              <w:t/>
              <w:br/>
              <w:t>Банк получателя: </w:t>
              <w:br/>
              <w:t>л/с: 83463D26580</w:t>
              <w:br/>
              <w:t>р/с: 03234643467760004800</w:t>
              <w:br/>
              <w:t>ГУ Банка 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