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083226-21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телевизоров</w:t>
      </w:r>
    </w:p>
    <w:p w:rsidR="007C3BF1" w:rsidRDefault="008C2287">
      <w:pPr>
        <w:ind w:left="1418"/>
      </w:pPr>
      <w:r>
        <w:t xml:space="preserve">Цена </w:t>
      </w:r>
      <w:r>
        <w:t>договора</w:t>
      </w:r>
      <w:r>
        <w:t xml:space="preserve">, руб.: </w:t>
      </w:r>
      <w:r>
        <w:t>258 565,00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01.01.09.01.01.03</w:t>
            </w:r>
            <w:r w:rsidR="008C2287">
              <w:rPr>
                <w:b/>
              </w:rPr>
              <w:t xml:space="preserve"> / </w:t>
            </w:r>
            <w:r w:rsidR="008C2287">
              <w:t>26.40.20.122</w:t>
            </w:r>
          </w:p>
          <w:p w:rsidR="007C3BF1" w:rsidRDefault="004E57CF">
            <w:pPr>
              <w:pStyle w:val="aff1"/>
              <w:rPr>
                <w:lang w:val="en-US"/>
              </w:rPr>
            </w:pPr>
          </w:p>
        </w:tc>
        <w:tc>
          <w:tcPr>
            <w:tcW w:w="3003" w:type="dxa"/>
            <w:shd w:val="clear" w:color="auto" w:fill="auto"/>
          </w:tcPr>
          <w:p w:rsidR="007C3BF1" w:rsidRDefault="004E57CF">
            <w:pPr>
              <w:pStyle w:val="aff1"/>
            </w:pPr>
            <w:r w:rsidR="008C2287">
              <w:t>Телевизор d28</w:t>
            </w:r>
          </w:p>
        </w:tc>
        <w:tc>
          <w:tcPr>
            <w:tcW w:w="2430" w:type="dxa"/>
          </w:tcPr>
          <w:p w:rsidR="007C3BF1" w:rsidRDefault="008C2287">
            <w:pPr>
              <w:pStyle w:val="aff1"/>
            </w:pPr>
            <w:r>
              <w:t>(не указано)*</w:t>
            </w:r>
          </w:p>
        </w:tc>
        <w:tc>
          <w:tcPr>
            <w:tcW w:w="1654" w:type="dxa"/>
          </w:tcPr>
          <w:p w:rsidR="007C3BF1" w:rsidRDefault="004E57CF">
            <w:pPr>
              <w:pStyle w:val="aff1"/>
            </w:pPr>
            <w:r w:rsidR="008C2287">
              <w:t>3,00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01.01.09.01.01.09.01</w:t>
            </w:r>
            <w:r w:rsidR="008C2287">
              <w:rPr>
                <w:b/>
              </w:rPr>
              <w:t xml:space="preserve"> / </w:t>
            </w:r>
            <w:r w:rsidR="008C2287">
              <w:t>26.40.20.122</w:t>
            </w:r>
          </w:p>
          <w:p w:rsidR="007C3BF1" w:rsidRDefault="004E57CF">
            <w:pPr>
              <w:pStyle w:val="aff1"/>
              <w:rPr>
                <w:lang w:val="en-US"/>
              </w:rPr>
            </w:pPr>
          </w:p>
        </w:tc>
        <w:tc>
          <w:tcPr>
            <w:tcW w:w="3003" w:type="dxa"/>
            <w:shd w:val="clear" w:color="auto" w:fill="auto"/>
          </w:tcPr>
          <w:p w:rsidR="007C3BF1" w:rsidRDefault="004E57CF">
            <w:pPr>
              <w:pStyle w:val="aff1"/>
            </w:pPr>
            <w:r w:rsidR="008C2287">
              <w:t>Телевизор d32</w:t>
            </w:r>
          </w:p>
        </w:tc>
        <w:tc>
          <w:tcPr>
            <w:tcW w:w="2430" w:type="dxa"/>
          </w:tcPr>
          <w:p w:rsidR="007C3BF1" w:rsidRDefault="008C2287">
            <w:pPr>
              <w:pStyle w:val="aff1"/>
            </w:pPr>
            <w:r>
              <w:t>(не указано)*</w:t>
            </w:r>
          </w:p>
        </w:tc>
        <w:tc>
          <w:tcPr>
            <w:tcW w:w="1654" w:type="dxa"/>
          </w:tcPr>
          <w:p w:rsidR="007C3BF1" w:rsidRDefault="004E57CF">
            <w:pPr>
              <w:pStyle w:val="aff1"/>
            </w:pPr>
            <w:r w:rsidR="008C2287">
              <w:t>5,00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4E57CF">
            <w:pPr>
              <w:pStyle w:val="aff1"/>
            </w:pPr>
            <w:r w:rsidR="008C2287">
              <w:t>01.01.09.01.01.03</w:t>
            </w:r>
            <w:r w:rsidR="008C2287">
              <w:rPr>
                <w:b/>
              </w:rPr>
              <w:t xml:space="preserve"> / </w:t>
            </w:r>
            <w:r w:rsidR="008C2287">
              <w:t>26.40.20.122</w:t>
            </w:r>
          </w:p>
          <w:p w:rsidR="007C3BF1" w:rsidRDefault="004E57CF">
            <w:pPr>
              <w:pStyle w:val="aff1"/>
              <w:rPr>
                <w:lang w:val="en-US"/>
              </w:rPr>
            </w:pPr>
          </w:p>
        </w:tc>
        <w:tc>
          <w:tcPr>
            <w:tcW w:w="3003" w:type="dxa"/>
            <w:shd w:val="clear" w:color="auto" w:fill="auto"/>
          </w:tcPr>
          <w:p w:rsidR="007C3BF1" w:rsidRDefault="004E57CF">
            <w:pPr>
              <w:pStyle w:val="aff1"/>
            </w:pPr>
            <w:r w:rsidR="008C2287">
              <w:t>Телевизор d55</w:t>
            </w:r>
          </w:p>
        </w:tc>
        <w:tc>
          <w:tcPr>
            <w:tcW w:w="2430" w:type="dxa"/>
          </w:tcPr>
          <w:p w:rsidR="007C3BF1" w:rsidRDefault="008C2287">
            <w:pPr>
              <w:pStyle w:val="aff1"/>
            </w:pPr>
            <w:r>
              <w:t>(не указано)*</w:t>
            </w:r>
          </w:p>
        </w:tc>
        <w:tc>
          <w:tcPr>
            <w:tcW w:w="1654" w:type="dxa"/>
          </w:tcPr>
          <w:p w:rsidR="007C3BF1" w:rsidRDefault="004E57CF">
            <w:pPr>
              <w:pStyle w:val="aff1"/>
            </w:pPr>
            <w:r w:rsidR="008C2287">
              <w:t>2,00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телевизоров</w:t>
            </w:r>
          </w:p>
        </w:tc>
        <w:tc>
          <w:tcPr>
            <w:tcW w:w="959" w:type="pct"/>
          </w:tcPr>
          <w:p w:rsidRPr="000B5400" w:rsidR="007C3BF1" w:rsidP="000B5400" w:rsidRDefault="004E57CF">
            <w:pPr>
              <w:pStyle w:val="aff1"/>
            </w:pPr>
            <w:r w:rsidRPr="000B5400" w:rsidR="008C2287">
              <w:t>ОКПД 2: 32.30.20.312, </w:t>
            </w:r>
            <w:r w:rsidRPr="000B5400" w:rsidR="008C2287">
              <w:t xml:space="preserve"> </w:t>
            </w:r>
            <w:r w:rsidR="008C2287">
              <w:t>наименование</w:t>
            </w:r>
            <w:r w:rsidRPr="000B5400" w:rsidR="008C2287">
              <w:t xml:space="preserve">:  </w:t>
            </w:r>
            <w:r w:rsidRPr="000B5400" w:rsidR="008C2287">
              <w:t>Телевизор d28</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ОКПД 2: 32.30.20.312, </w:t>
            </w:r>
            <w:r w:rsidRPr="000B5400" w:rsidR="008C2287">
              <w:t xml:space="preserve"> </w:t>
            </w:r>
            <w:r w:rsidR="008C2287">
              <w:t>наименование</w:t>
            </w:r>
            <w:r w:rsidRPr="000B5400" w:rsidR="008C2287">
              <w:t xml:space="preserve">:  </w:t>
            </w:r>
            <w:r w:rsidRPr="000B5400" w:rsidR="008C2287">
              <w:t>Телевизор d55</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Телевизор d32</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10 раб.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поставку телевизоров</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телевизоров)</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за поставку телевизоров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Поставка телевизоров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телевизоров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телевизоров</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раб. дн. от даты получения документа</w:t>
            </w:r>
          </w:p>
        </w:tc>
        <w:tc>
          <w:tcPr>
            <w:tcW w:w="630" w:type="pct"/>
            <w:shd w:val="clear" w:color="auto" w:fill="auto"/>
          </w:tcPr>
          <w:p w:rsidR="007C3BF1" w:rsidRDefault="004E57CF">
            <w:pPr>
              <w:pStyle w:val="aff1"/>
            </w:pPr>
            <w:r w:rsidR="008C2287">
              <w:t>Заказчик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телевизоров</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раб.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