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807CBE"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807CBE" w14:paraId="63E42711" w14:textId="77777777">
            <w:pPr>
              <w:pStyle w:val="aff2"/>
            </w:pPr>
            <w:r w:rsidR="0012084A">
              <w:t>03.08.02.02</w:t>
            </w:r>
            <w:r w:rsidR="0012084A">
              <w:rPr>
                <w:b/>
              </w:rPr>
              <w:t xml:space="preserve"> / </w:t>
            </w:r>
            <w:r w:rsidR="0012084A">
              <w:t>43.99.90.190</w:t>
            </w:r>
          </w:p>
          <w:p w:rsidR="0012084A" w:rsidP="009643D6" w:rsidRDefault="00807CBE" w14:paraId="42BBB50E" w14:textId="77777777">
            <w:pPr>
              <w:pStyle w:val="aff2"/>
            </w:pPr>
          </w:p>
        </w:tc>
        <w:tc>
          <w:tcPr>
            <w:tcW w:w="4678" w:type="dxa"/>
            <w:tcBorders>
              <w:bottom w:val="single" w:color="auto" w:sz="4" w:space="0"/>
            </w:tcBorders>
            <w:shd w:val="clear" w:color="auto" w:fill="auto"/>
          </w:tcPr>
          <w:p w:rsidR="0012084A" w:rsidP="009643D6" w:rsidRDefault="00807CBE" w14:paraId="361DB9EC" w14:textId="77777777">
            <w:pPr>
              <w:pStyle w:val="aff2"/>
              <w:rPr>
                <w:lang w:val="en-US"/>
              </w:rPr>
            </w:pPr>
            <w:r w:rsidR="0012084A">
              <w:rPr>
                <w:lang w:val="en-US"/>
              </w:rPr>
              <w:t>Работы строительные специальные на высоте</w:t>
            </w:r>
          </w:p>
        </w:tc>
        <w:tc>
          <w:tcPr>
            <w:tcW w:w="1559" w:type="dxa"/>
            <w:tcBorders>
              <w:bottom w:val="single" w:color="auto" w:sz="4" w:space="0"/>
            </w:tcBorders>
          </w:tcPr>
          <w:p w:rsidR="0012084A" w:rsidP="009643D6" w:rsidRDefault="00807CBE"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807CBE"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807CBE"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807CBE" w14:paraId="005BDBB6" w14:textId="77777777">
            <w:pPr>
              <w:pStyle w:val="aff2"/>
              <w:jc w:val="right"/>
              <w:rPr>
                <w:lang w:val="en-US"/>
              </w:rPr>
            </w:pPr>
            <w:r w:rsidR="0012084A">
              <w:rPr>
                <w:lang w:val="en-US"/>
              </w:rPr>
              <w:t>(</w:t>
            </w:r>
            <w:r w:rsidR="0012084A">
              <w:t>не указано</w:t>
            </w:r>
            <w:r w:rsidR="0012084A">
              <w:rPr>
                <w:lang w:val="en-US"/>
              </w:rPr>
              <w:t>)*</w:t>
            </w:r>
          </w:p>
        </w:tc>
      </w:tr>
      <w:t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21"/>
              <w:gridCol w:w="4675"/>
              <w:gridCol w:w="3542"/>
              <w:gridCol w:w="4941"/>
            </w:tblGrid>
            <w:tr>
              <w:tc>
                <w:tcPr>
                  <w:tcW w:w="1521" w:type="dxa"/>
                  <w:tcBorders>
                    <w:top w:val="single" w:color="auto" w:sz="4" w:space="0"/>
                  </w:tcBorders>
                  <w:shd w:val="clear" w:color="auto" w:fill="auto"/>
                  <w:tcMar>
                    <w:left w:w="115" w:type="dxa"/>
                    <w:right w:w="115" w:type="dxa"/>
                  </w:tcMar>
                </w:tcPr>
                <w:p w:rsidRPr="00B33F3B" w:rsidR="0012084A" w:rsidP="009643D6" w:rsidRDefault="0012084A" w14:paraId="638736BF" w14:textId="77777777">
                  <w:pPr>
                    <w:pStyle w:val="aff2"/>
                    <w:rPr>
                      <w:sz w:val="2"/>
                    </w:rPr>
                  </w:pPr>
                </w:p>
              </w:tc>
              <w:tc>
                <w:tcPr>
                  <w:tcW w:w="4675" w:type="dxa"/>
                  <w:tcBorders>
                    <w:top w:val="single" w:color="auto" w:sz="4" w:space="0"/>
                  </w:tcBorders>
                  <w:shd w:val="clear" w:color="auto" w:fill="auto"/>
                  <w:tcMar>
                    <w:left w:w="115" w:type="dxa"/>
                    <w:right w:w="115" w:type="dxa"/>
                  </w:tcMar>
                </w:tcPr>
                <w:p w:rsidRPr="00B33F3B" w:rsidR="0012084A" w:rsidP="009643D6" w:rsidRDefault="0012084A" w14:paraId="554C2B15" w14:textId="77777777">
                  <w:pPr>
                    <w:pStyle w:val="aff2"/>
                    <w:rPr>
                      <w:b/>
                      <w:sz w:val="20"/>
                      <w:szCs w:val="20"/>
                    </w:rPr>
                  </w:pPr>
                  <w:r w:rsidRPr="00B33F3B">
                    <w:rPr>
                      <w:b/>
                      <w:sz w:val="20"/>
                      <w:szCs w:val="20"/>
                    </w:rPr>
                    <w:t>Наименование видов (этапов) работ</w:t>
                  </w:r>
                </w:p>
              </w:tc>
              <w:tc>
                <w:tcPr>
                  <w:tcW w:w="3542" w:type="dxa"/>
                  <w:tcBorders>
                    <w:top w:val="single" w:color="auto" w:sz="4" w:space="0"/>
                  </w:tcBorders>
                  <w:tcMar>
                    <w:left w:w="115" w:type="dxa"/>
                    <w:right w:w="115" w:type="dxa"/>
                  </w:tcMar>
                </w:tcPr>
                <w:p w:rsidRPr="00B33F3B" w:rsidR="0012084A" w:rsidP="009643D6" w:rsidRDefault="0012084A" w14:paraId="661D9B78" w14:textId="77777777">
                  <w:pPr>
                    <w:pStyle w:val="aff2"/>
                    <w:rPr>
                      <w:b/>
                      <w:sz w:val="20"/>
                      <w:szCs w:val="20"/>
                    </w:rPr>
                  </w:pPr>
                  <w:r w:rsidRPr="00B33F3B">
                    <w:rPr>
                      <w:b/>
                      <w:sz w:val="20"/>
                      <w:szCs w:val="20"/>
                    </w:rPr>
                    <w:t>Наименование файла сметы</w:t>
                  </w:r>
                </w:p>
              </w:tc>
              <w:tc>
                <w:tcPr>
                  <w:tcW w:w="4941" w:type="dxa"/>
                  <w:tcBorders>
                    <w:top w:val="single" w:color="auto" w:sz="4" w:space="0"/>
                  </w:tcBorders>
                  <w:tcMar>
                    <w:left w:w="115" w:type="dxa"/>
                    <w:right w:w="115" w:type="dxa"/>
                  </w:tcMar>
                </w:tcPr>
                <w:p w:rsidRPr="00B33F3B" w:rsidR="0012084A" w:rsidP="009643D6" w:rsidRDefault="0012084A" w14:paraId="18E23871" w14:textId="77777777">
                  <w:pPr>
                    <w:pStyle w:val="aff2"/>
                    <w:rPr>
                      <w:b/>
                      <w:sz w:val="20"/>
                      <w:szCs w:val="20"/>
                    </w:rPr>
                  </w:pPr>
                  <w:r w:rsidRPr="00B33F3B">
                    <w:rPr>
                      <w:b/>
                      <w:sz w:val="20"/>
                      <w:szCs w:val="20"/>
                    </w:rPr>
                    <w:t>Общая стоимость по смете, руб.</w:t>
                  </w:r>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807CBE" w14:paraId="2B234FE9" w14:textId="77777777">
                  <w:pPr>
                    <w:pStyle w:val="aff2"/>
                    <w:rPr>
                      <w:b/>
                      <w:sz w:val="20"/>
                      <w:szCs w:val="20"/>
                    </w:rPr>
                  </w:pPr>
                  <w:r w:rsidRPr="00B33F3B" w:rsidR="0012084A">
                    <w:rPr>
                      <w:b/>
                      <w:sz w:val="20"/>
                      <w:szCs w:val="20"/>
                      <w:lang w:val="en-US"/>
                    </w:rPr>
                    <w:t>Смета без Сводного Сметного Расчета (ССР)</w:t>
                  </w:r>
                </w:p>
              </w:tc>
              <w:tc>
                <w:tcPr>
                  <w:tcW w:w="3542" w:type="dxa"/>
                  <w:tcMar>
                    <w:left w:w="115" w:type="dxa"/>
                    <w:right w:w="115" w:type="dxa"/>
                  </w:tcMar>
                </w:tcPr>
                <w:p w:rsidRPr="00B33F3B" w:rsidR="0012084A" w:rsidP="009643D6" w:rsidRDefault="00807CBE" w14:paraId="04BD55D8" w14:textId="77777777">
                  <w:pPr>
                    <w:pStyle w:val="aff2"/>
                    <w:rPr>
                      <w:b/>
                      <w:sz w:val="20"/>
                      <w:szCs w:val="20"/>
                    </w:rPr>
                  </w:pPr>
                  <w:r w:rsidRPr="00B33F3B" w:rsidR="0012084A">
                    <w:rPr>
                      <w:b/>
                      <w:sz w:val="20"/>
                      <w:szCs w:val="20"/>
                      <w:lang w:val="en-US"/>
                    </w:rPr>
                    <w:t>«Смета»</w:t>
                  </w:r>
                </w:p>
              </w:tc>
              <w:tc>
                <w:tcPr>
                  <w:tcW w:w="4941" w:type="dxa"/>
                  <w:tcMar>
                    <w:left w:w="115" w:type="dxa"/>
                    <w:right w:w="115" w:type="dxa"/>
                  </w:tcMar>
                </w:tcPr>
                <w:p w:rsidRPr="00233066" w:rsidR="00233066" w:rsidP="00233066" w:rsidRDefault="00807CBE" w14:paraId="005D2935" w14:textId="77777777">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12084A" w:rsidP="009643D6" w:rsidRDefault="0012084A" w14:paraId="6E92FBC9" w14:textId="01BAEC59">
                  <w:pPr>
                    <w:pStyle w:val="aff2"/>
                    <w:jc w:val="right"/>
                    <w:rPr>
                      <w:b/>
                      <w:sz w:val="20"/>
                      <w:szCs w:val="20"/>
                    </w:rPr>
                  </w:pPr>
                </w:p>
              </w:tc>
            </w:tr>
          </w:tbl>
          <w:p w:rsidRPr="00B84784" w:rsidR="0012084A" w:rsidP="009643D6" w:rsidRDefault="00807CBE" w14:paraId="7594C5FA" w14:textId="77777777">
            <w:pPr>
              <w:ind w:firstLine="0"/>
              <w:rPr>
                <w:sz w:val="2"/>
              </w:rPr>
            </w:pPr>
          </w:p>
        </w:tc>
      </w:tr>
    </w:tbl>
    <w:p w:rsidR="005D5947" w:rsidP="0012084A" w:rsidRDefault="00807CBE" w14:paraId="27A52318"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807CBE"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807CBE"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807CBE" w14:paraId="10372E23" w14:textId="77777777">
            <w:pPr>
              <w:pStyle w:val="aff2"/>
              <w:ind w:right="-108"/>
            </w:pPr>
            <w:r w:rsidRPr="003B1D0A" w:rsidR="00304EDC">
              <w:rPr>
                <w:b/>
                <w:lang w:val="en-US"/>
              </w:rPr>
              <w:t>2 488 244,00</w:t>
            </w:r>
          </w:p>
          <w:p w:rsidRPr="00E64CDE" w:rsidR="00304EDC" w:rsidP="00581C38" w:rsidRDefault="00807CBE" w14:paraId="2FF19D67" w14:textId="77777777">
            <w:pPr>
              <w:pStyle w:val="aff2"/>
            </w:pPr>
            <w:r w:rsidRPr="00414453" w:rsidR="00304EDC">
              <w:rPr>
                <w:b/>
                <w:lang w:val="en-US"/>
              </w:rPr>
              <w:t>497 648,80</w:t>
            </w:r>
          </w:p>
          <w:p w:rsidRPr="00E64CDE" w:rsidR="00304EDC" w:rsidP="00581C38" w:rsidRDefault="00807CBE" w14:paraId="63304418" w14:textId="77777777">
            <w:pPr>
              <w:pStyle w:val="aff2"/>
            </w:pPr>
            <w:r w:rsidR="00304EDC">
              <w:rPr>
                <w:b/>
                <w:lang w:val="en-US"/>
              </w:rPr>
              <w:t>2 985 892,80</w:t>
            </w:r>
          </w:p>
        </w:tc>
      </w:tr>
    </w:tbl>
    <w:p w:rsidRPr="000C1137" w:rsidR="000C1137" w:rsidP="000C1137" w:rsidRDefault="00807CBE"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Работы строительные специальные на высоте</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r w:rsidRPr="00F1189E">
        <w:rPr>
          <w:b/>
          <w:lang w:val="en-US"/>
        </w:rPr>
        <w:t>:</w:t>
      </w:r>
      <w:r w:rsidRPr="00F1189E">
        <w:rPr>
          <w:lang w:val="en-US"/>
        </w:rPr>
        <w:t xml:space="preserve"> </w:t>
      </w:r>
      <w:r w:rsidRPr="00F1189E">
        <w:rPr>
          <w:lang w:val="en-US"/>
        </w:rPr>
        <w:t>«Смета»</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807CBE"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ремонту балконов многоквартирных жилых домов, находящихся на обслуживание АО "УК "Жилой дом"</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4B9BDF95" w14:textId="77777777">
            <w:pPr>
              <w:pStyle w:val="aff1"/>
              <w:numPr>
                <w:ilvl w:val="0"/>
                <w:numId w:val="5"/>
              </w:numPr>
              <w:jc w:val="both"/>
              <w:rPr>
                <w:lang w:val="en-US"/>
              </w:rPr>
            </w:pPr>
            <w:r w:rsidR="00473384">
              <w:rPr>
                <w:lang w:val="en-US"/>
              </w:rPr>
              <w:t>Работы строительные специальные на высоте (Смета без Сводного Сметного Расчета (ССР))</w:t>
            </w:r>
          </w:p>
          <w:p w:rsidRPr="009D6D60" w:rsidR="00473384" w:rsidP="00473384" w:rsidRDefault="00807CBE"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«Смета»</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31.10.2021 (МСК)</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балконов многоквартирных жилых домов, находящихся на обслуживание АО "УК "Жилой дом")</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В соответствии с техническим заданием</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ремонту балконов многоквартирных жилых домов, находящихся на обслуживание АО "УК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ремонту балконов многоквартирных жилых домов, находящихся на обслуживание АО "УК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ремонту балконов многоквартирных жилых домов, находящихся на обслуживание АО "УК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012523-21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