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Амперметр лабораторный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Весы с разновесами лаб.</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Весы электронные лаб. 200 г</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Вольтметр лабораторный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Динамометр 1 Н</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Динамометр 5 Н</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Калориметр с подогревом</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по электричеству с генератором</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"Звуковой резонанс"</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"Измерение потенциала и напряженности электрического поля"</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"Макет интерферометра Майкельсона акустический"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по механике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по молекулярной физике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по оптике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Комплект для практикума по электродинамике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Маятник электростатический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01.27.02.02.06.48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Модель для демонстр. в объеме линий магнитного поля</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Модель молекулярного строения магнита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01.27.02.02.04.40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"Магнитное поле Земли"</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"Звуковые колебания и волны"</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"Магнитное поле кольцевых токов"</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"Полупроводниковые приборы"</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"Постоянный ток"</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"Электрическая емкость"</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"Электрический ток в вакууме"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демонстрационный "Электродинамика"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для демонстрации магнитных полей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для демонстрации электрических полей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01.27.02.02.06.38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калориметрических тел</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лабораторный "Механика" (расширенный)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01.27.02.02.05.07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лабораторный "Оптика" (расширенный)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Набор лабораторный "Электричество" (расширенный)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01.27.02.02.04.45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Палочка стеклянная</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Палочка эбонитовая</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01.27.02.02.06.55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Стрелки магнитные на штативах</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01.27.02.02.04.47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Султан электростатический (шелк) пара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учебного оборудования для кабинета физики</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Амперметр лабораторный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Весы с разновесами лаб.</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Весы электронные лаб. 200 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Вольтметр лабораторный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Динамометр 1 Н</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Динамометр 5 Н</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Калориметр с подогревом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"Звуковой резонанс"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"Измерение потенциала и напряженности электрического поля"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"Макет интерферометра Майкельсона акустический"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по механике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по молекулярной физике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по оптике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по электричеству с генератором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Комплект для практикума по электродинамике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Маятник электростатический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Модель для демонстр. в объеме линий магнитного поля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Модель молекулярного строения магнита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"Звуковые колебания и волны"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"Магнитное поле кольцевых токов"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"Полупроводниковые приборы"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"Постоянный ток"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"Электрическая емкость"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"Электрический ток в вакууме"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демонстрационный "Электродинамика"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для демонстрации магнитных полей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для демонстрации электрических полей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калориметрических тел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лабораторный "Механика" (расширенный)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лабораторный "Оптика" (расширенный)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лабораторный "Электричество" (расширенный)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"Магнитное поле Земли"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Палочка стеклянная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Палочка эбонитовая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Стрелки магнитные на штативах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Султан электростатический (шелк) пара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учебного оборудования для кабинета физики</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«Универсальный передаточный документ (СЧФДОП), унифицированный формат, утвержденный приказом ФНС России» (Поставка учебного оборудования для кабинета физики)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за поставку учебного оборудования для кабинета физики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учебного оборудования для кабинета физики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учебного оборудования для кабинета физики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Поставка учебного оборудования для кабинета физики</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Универсальный передаточный документ (СЧФДОП), унифицированный формат, утвержденный приказом ФНС России</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9"/>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5E3533" w14:paraId="423B922F" w14:textId="13DCA281">
                        <w:pPr>
                          <w:pStyle w:val="aff1"/>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Поставка учебного оборудования для кабинета физики</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5E3533" w14:paraId="0263DD89" w14:textId="543C67B8">
                        <w:pPr>
                          <w:pStyle w:val="aff1"/>
                        </w:pPr>
                        <w:sdt>
                          <w:sdtPr>
                            <w:alias w:val="Simple"/>
                            <w:tag w:val="Simple"/>
                            <w:id w:val="1065531351"/>
                            <w:placeholder>
                              <w:docPart w:val="0EA10F1CFECC4EBFBDE0530A00127DE7"/>
                            </w:placeholder>
                            <w:text/>
                          </w:sdtPr>
                          <w:sdtEndPr/>
                          <w:sdtContent>
                            <w:r w:rsidR="00A27827">
                              <w:t>Универсальный передаточный документ (СЧФДОП), унифицированный формат, утвержденный приказом ФНС России</w:t>
                            </w:r>
                          </w:sdtContent>
                        </w:sdt>
                      </w:p>
                    </w:tc>
                  </w:tr>
                </w:tbl>
                <w:p w:rsidR="00A43373" w:rsidP="00A43373" w:rsidRDefault="005E3533"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129493-20</w:t>
            </w:r>
          </w:sdtContent>
        </w:sdt>
      </w:sdtContent>
    </w:sdt>
  </w:p>
  <w:p w:rsidR="005165A0" w:rsidP="002D335B" w:rsidRDefault="005165A0" w14:paraId="4B8EC4C1" w14:textId="176C5946">
    <w:pPr>
      <w:pStyle w:val="af0"/>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