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456"/>
      </w:tblGrid>
      <w:tr w:rsidR="004A6C9F" w:rsidRPr="00F43893" w14:paraId="6E236896" w14:textId="77777777" w:rsidTr="002F5324">
        <w:trPr>
          <w:trHeight w:val="7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E624F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заявок участников закупки производится в соответствии с постановлением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нужд».</w:t>
            </w:r>
          </w:p>
          <w:p w14:paraId="225E66F1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заявок в целях определения наилучших условий исполнения контракта в настоящей конкурсной документации установлены следующие критерии оценки:</w:t>
            </w:r>
          </w:p>
          <w:p w14:paraId="1A9FE7CC" w14:textId="77777777" w:rsidR="004A6C9F" w:rsidRPr="00F43893" w:rsidRDefault="004A6C9F" w:rsidP="002F5324">
            <w:pPr>
              <w:shd w:val="clear" w:color="auto" w:fill="EEEEEE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tbl>
            <w:tblPr>
              <w:tblW w:w="484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45"/>
              <w:gridCol w:w="2146"/>
              <w:gridCol w:w="2524"/>
            </w:tblGrid>
            <w:tr w:rsidR="004A6C9F" w:rsidRPr="00F43893" w14:paraId="4377A296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3216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Наименование критерия оценки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A3994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Значимость критерия оценки (%)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FB675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Коэффициент значимости критерия оценки (КЗ)</w:t>
                  </w:r>
                </w:p>
              </w:tc>
            </w:tr>
            <w:tr w:rsidR="004A6C9F" w:rsidRPr="00F43893" w14:paraId="5DC45200" w14:textId="77777777" w:rsidTr="002F5324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52689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Стоимостные критерии оценки</w:t>
                  </w:r>
                </w:p>
              </w:tc>
            </w:tr>
            <w:tr w:rsidR="004A6C9F" w:rsidRPr="00F43893" w14:paraId="6089176D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A9FC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Цена контракта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7F62D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60,0%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D6B7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0,6</w:t>
                  </w:r>
                </w:p>
              </w:tc>
            </w:tr>
            <w:tr w:rsidR="004A6C9F" w:rsidRPr="00F43893" w14:paraId="74EAF55F" w14:textId="77777777" w:rsidTr="002F5324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48E7D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Нестоимостные критерии оценки</w:t>
                  </w:r>
                </w:p>
              </w:tc>
            </w:tr>
            <w:tr w:rsidR="004A6C9F" w:rsidRPr="00F43893" w14:paraId="0B45C568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444E7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Обеспеченность участника закупки трудовыми ресурсами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45AD1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40,0%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CB202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0,4</w:t>
                  </w:r>
                </w:p>
              </w:tc>
            </w:tr>
            <w:tr w:rsidR="004A6C9F" w:rsidRPr="00F43893" w14:paraId="0240922D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2CF9F" w14:textId="77777777" w:rsidR="004A6C9F" w:rsidRPr="00F43893" w:rsidRDefault="004A6C9F" w:rsidP="002F5324">
                  <w:pPr>
                    <w:pStyle w:val="ConsPlusNormal"/>
                    <w:shd w:val="clear" w:color="auto" w:fill="EEEEEE"/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szCs w:val="22"/>
                      <w:shd w:val="clear" w:color="auto" w:fill="EEEEEE"/>
                    </w:rPr>
                  </w:pPr>
                  <w:r w:rsidRPr="00F43893">
                    <w:rPr>
                      <w:rFonts w:ascii="Times New Roman" w:eastAsia="Calibri" w:hAnsi="Times New Roman" w:cs="Times New Roman"/>
                      <w:szCs w:val="22"/>
                      <w:shd w:val="clear" w:color="auto" w:fill="EEEEEE"/>
                    </w:rPr>
                    <w:t>Сумма величин значимости критериев оценки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3BA02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100,0%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3E838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1,0</w:t>
                  </w:r>
                </w:p>
              </w:tc>
            </w:tr>
          </w:tbl>
          <w:p w14:paraId="0234760F" w14:textId="77777777" w:rsidR="004A6C9F" w:rsidRPr="00F43893" w:rsidRDefault="004A6C9F" w:rsidP="002F5324">
            <w:pPr>
              <w:shd w:val="clear" w:color="auto" w:fill="EEEEEE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31A1C949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заявок (предложений) по каждому критерию оценки используется 100-балльная шкала оценки.</w:t>
            </w:r>
          </w:p>
          <w:p w14:paraId="26B3C9F6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Если в отношении критерия оценки в документации о закупке заказчиком предусматриваются показатели, то для каждого показателя устанавливается его значимость, в соответствии с которой будет производиться оценка, и формула расчёта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</w:t>
            </w:r>
          </w:p>
          <w:p w14:paraId="5A57A966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Сумма величин значимости показателей критерия оценки должна составлять 100 процентов.</w:t>
            </w:r>
          </w:p>
          <w:p w14:paraId="700A8F62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 (предложения) вычисляется как сумма рейтингов по каждому критерию оценки заявки (предложения).</w:t>
            </w:r>
          </w:p>
          <w:p w14:paraId="602BA0EE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Победителем признается участник закупки, заявке (предложению) которого присвоен самый высокий итоговый рейтинг. Заявке (предложению) такого участника закупки присваивается первый порядковый номер.</w:t>
            </w:r>
          </w:p>
          <w:p w14:paraId="04C9ADE5" w14:textId="77777777" w:rsidR="004A6C9F" w:rsidRPr="00F43893" w:rsidRDefault="004A6C9F" w:rsidP="004A6C9F">
            <w:pPr>
              <w:widowControl w:val="0"/>
              <w:numPr>
                <w:ilvl w:val="0"/>
                <w:numId w:val="1"/>
              </w:numPr>
              <w:shd w:val="clear" w:color="auto" w:fill="EEEEEE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заявок (предложений) по стоимостному критерию оценки «Цена контракта»:</w:t>
            </w:r>
          </w:p>
          <w:p w14:paraId="4820DF17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Количество баллов, присуждаемых по критерию оценки «Цена контракта» (ЦБi), определяется по формуле:</w:t>
            </w:r>
          </w:p>
          <w:p w14:paraId="301B5856" w14:textId="38266393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noProof/>
                <w:szCs w:val="22"/>
                <w:shd w:val="clear" w:color="auto" w:fill="EEEEEE"/>
              </w:rPr>
              <w:drawing>
                <wp:inline distT="0" distB="0" distL="0" distR="0" wp14:anchorId="02327A67" wp14:editId="0EE667BC">
                  <wp:extent cx="122872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,</w:t>
            </w:r>
          </w:p>
          <w:p w14:paraId="2418B30F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где:</w:t>
            </w:r>
          </w:p>
          <w:p w14:paraId="629A1BCA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Цi – предложение участника закупки, заявка (предложение) которого оценивается;</w:t>
            </w:r>
          </w:p>
          <w:p w14:paraId="4D291050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Цmin – минимальное предложение из предложений по критерию оценки, сделанных участниками закупки.</w:t>
            </w:r>
          </w:p>
          <w:p w14:paraId="3B63B789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7B84E0E0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</w:p>
          <w:p w14:paraId="33B3F6F9" w14:textId="77777777" w:rsidR="004A6C9F" w:rsidRPr="00F43893" w:rsidRDefault="004A6C9F" w:rsidP="004A6C9F">
            <w:pPr>
              <w:pStyle w:val="a3"/>
              <w:numPr>
                <w:ilvl w:val="0"/>
                <w:numId w:val="1"/>
              </w:numPr>
              <w:shd w:val="clear" w:color="auto" w:fill="EEEEEE"/>
              <w:tabs>
                <w:tab w:val="left" w:pos="1134"/>
              </w:tabs>
              <w:ind w:firstLine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 xml:space="preserve"> Обеспеченность участника закупки трудовыми ресурсами:</w:t>
            </w:r>
          </w:p>
          <w:p w14:paraId="1A168334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Значение показателя и порядок оценки:</w:t>
            </w:r>
          </w:p>
          <w:p w14:paraId="6CB42613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Значимость показателя критерия – 40%.</w:t>
            </w:r>
          </w:p>
          <w:p w14:paraId="56258BFB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Коэффициент значимости показателя критерия – 0,4.</w:t>
            </w:r>
          </w:p>
          <w:p w14:paraId="7977F75E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Максимальное количество баллов по показателю – 40.</w:t>
            </w:r>
          </w:p>
          <w:p w14:paraId="0A59D387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производится по количеству в штате организации сотрудников (охранников), имеющих не менее 4 разряда. Оцениваются предложения участников закупки, которые подтверждены документально.</w:t>
            </w:r>
          </w:p>
          <w:p w14:paraId="3314979E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lastRenderedPageBreak/>
              <w:t>В качестве документов, подтверждающих наличие трудовых ресурсов и их квалификацию, должны быть предоставлены:</w:t>
            </w:r>
          </w:p>
          <w:p w14:paraId="38095D5E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штатного расписания и/или выписка из штатного расписания, заверенная печатью и подписью руководителя (1 экз.);</w:t>
            </w:r>
          </w:p>
          <w:p w14:paraId="5A4FB83D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удостоверения частного охранника (для каждого охранника</w:t>
            </w:r>
            <w:proofErr w:type="gramStart"/>
            <w:r w:rsidRPr="00F43893">
              <w:rPr>
                <w:rFonts w:ascii="Times New Roman" w:hAnsi="Times New Roman"/>
                <w:shd w:val="clear" w:color="auto" w:fill="EEEEEE"/>
              </w:rPr>
              <w:t>) ;</w:t>
            </w:r>
            <w:proofErr w:type="gramEnd"/>
          </w:p>
          <w:p w14:paraId="3F5BD4E0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личной карточки охранника (для каждого охранника);</w:t>
            </w:r>
          </w:p>
          <w:p w14:paraId="4102719D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 xml:space="preserve">список всех сотрудников охраны Исполнителя. </w:t>
            </w:r>
          </w:p>
          <w:p w14:paraId="15CD5E84" w14:textId="5A911DFE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 xml:space="preserve">           Количество баллов, присуждаемых по этому показателю (НЦБi</w:t>
            </w:r>
            <w:proofErr w:type="gramStart"/>
            <w:r w:rsidRPr="00F43893">
              <w:rPr>
                <w:rFonts w:ascii="Times New Roman" w:hAnsi="Times New Roman"/>
                <w:shd w:val="clear" w:color="auto" w:fill="EEEEEE"/>
              </w:rPr>
              <w:t>),:</w:t>
            </w:r>
            <w:proofErr w:type="gramEnd"/>
          </w:p>
          <w:p w14:paraId="02AFB690" w14:textId="6F82073B" w:rsidR="004A6C9F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 xml:space="preserve">НЦБi = </w:t>
            </w:r>
          </w:p>
          <w:p w14:paraId="6A5C4A0F" w14:textId="7D0B1E1E" w:rsidR="00C6492C" w:rsidRDefault="00C6492C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>
              <w:rPr>
                <w:rFonts w:ascii="Times New Roman" w:hAnsi="Times New Roman"/>
                <w:shd w:val="clear" w:color="auto" w:fill="EEEEEE"/>
              </w:rPr>
              <w:t>1-10 сотрудников 10%</w:t>
            </w:r>
          </w:p>
          <w:p w14:paraId="2E8F6B9F" w14:textId="473B73EE" w:rsidR="00C6492C" w:rsidRDefault="00C6492C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>
              <w:rPr>
                <w:rFonts w:ascii="Times New Roman" w:hAnsi="Times New Roman"/>
                <w:shd w:val="clear" w:color="auto" w:fill="EEEEEE"/>
              </w:rPr>
              <w:t>11-20 сотрудников 20%</w:t>
            </w:r>
          </w:p>
          <w:p w14:paraId="4EDB56EA" w14:textId="6E5FB4E9" w:rsidR="00C6492C" w:rsidRDefault="00C6492C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>
              <w:rPr>
                <w:rFonts w:ascii="Times New Roman" w:hAnsi="Times New Roman"/>
                <w:shd w:val="clear" w:color="auto" w:fill="EEEEEE"/>
              </w:rPr>
              <w:t>21-30- сотрудников 30%</w:t>
            </w:r>
          </w:p>
          <w:p w14:paraId="7A5BDFE3" w14:textId="15B2704A" w:rsidR="004A6C9F" w:rsidRPr="00F43893" w:rsidRDefault="00C6492C" w:rsidP="00C6492C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>
              <w:rPr>
                <w:rFonts w:ascii="Times New Roman" w:hAnsi="Times New Roman"/>
                <w:shd w:val="clear" w:color="auto" w:fill="EEEEEE"/>
              </w:rPr>
              <w:t>31-40 сотрудников 40%</w:t>
            </w:r>
          </w:p>
          <w:p w14:paraId="31A905CC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3C502B91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заявки:</w:t>
            </w:r>
          </w:p>
          <w:p w14:paraId="6AA425F3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заявки осуществляется расчёт итогового рейтинга по каждой заявке.</w:t>
            </w:r>
          </w:p>
          <w:p w14:paraId="3650D809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 рассчитывается путём сложения рейтингов по каждому критерию оценки заявки, установленному в конкурсной документации, умноженных на их значимость.</w:t>
            </w:r>
          </w:p>
          <w:p w14:paraId="567C954E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Рейтинг представляет собой оценку, получаемою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0478A87B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заявки:</w:t>
            </w:r>
          </w:p>
          <w:p w14:paraId="23E433AD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Ki = ЦБi + НЦБi</w:t>
            </w:r>
          </w:p>
          <w:p w14:paraId="049F4825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где:</w:t>
            </w:r>
          </w:p>
          <w:p w14:paraId="6D9F742D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ЦБi – итоговый рейтинг по критерию «цена контракта»;</w:t>
            </w:r>
          </w:p>
          <w:p w14:paraId="1938E028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НЦБi – итоговый рейтинг по критерию «квалификация участников закупки».</w:t>
            </w:r>
          </w:p>
          <w:p w14:paraId="35FC111C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расчёта итогового рейтинга по каждой заявке.</w:t>
            </w:r>
          </w:p>
          <w:p w14:paraId="222929F4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Заявке, набравшей наибольший итоговой рейтинг, присваивается первый номер.</w:t>
            </w:r>
          </w:p>
          <w:p w14:paraId="203B33C2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Победителем признается участник, получивший наибольшую итоговую оценку заявки.</w:t>
            </w:r>
          </w:p>
          <w:p w14:paraId="1A3D6335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При совпадении итогового рейтинга участников, выигравшей будет признана заявка, которая поступила ранее других заявок на участие.</w:t>
            </w:r>
          </w:p>
          <w:p w14:paraId="4013B7E7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br w:type="page"/>
            </w:r>
          </w:p>
          <w:p w14:paraId="4F82F5FA" w14:textId="77777777" w:rsidR="004A6C9F" w:rsidRPr="00F43893" w:rsidRDefault="004A6C9F" w:rsidP="002F5324">
            <w:pPr>
              <w:widowControl w:val="0"/>
              <w:shd w:val="clear" w:color="auto" w:fill="EEEEEE"/>
              <w:spacing w:after="0" w:line="100" w:lineRule="atLeast"/>
              <w:ind w:right="18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</w:tc>
      </w:tr>
    </w:tbl>
    <w:p w14:paraId="495CBAD9" w14:textId="77777777" w:rsidR="00780EC3" w:rsidRDefault="00780EC3"/>
    <w:sectPr w:rsidR="00780EC3" w:rsidSect="004A6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8147E"/>
    <w:multiLevelType w:val="hybridMultilevel"/>
    <w:tmpl w:val="EB1ACA76"/>
    <w:lvl w:ilvl="0" w:tplc="840C29AE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3C012211"/>
    <w:multiLevelType w:val="hybridMultilevel"/>
    <w:tmpl w:val="A7E0C0AA"/>
    <w:lvl w:ilvl="0" w:tplc="965A71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C3"/>
    <w:rsid w:val="003717D0"/>
    <w:rsid w:val="004A6C9F"/>
    <w:rsid w:val="00780EC3"/>
    <w:rsid w:val="00C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C1DB"/>
  <w15:chartTrackingRefBased/>
  <w15:docId w15:val="{DA5F17B6-EDAE-4D01-8531-28CD597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9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A6C9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List Paragraph"/>
    <w:basedOn w:val="a"/>
    <w:uiPriority w:val="34"/>
    <w:qFormat/>
    <w:rsid w:val="004A6C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Ирина</cp:lastModifiedBy>
  <cp:revision>3</cp:revision>
  <dcterms:created xsi:type="dcterms:W3CDTF">2020-11-02T06:32:00Z</dcterms:created>
  <dcterms:modified xsi:type="dcterms:W3CDTF">2020-11-02T06:42:00Z</dcterms:modified>
</cp:coreProperties>
</file>