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Хилис Сергей Николаевич</w:t>
        <w:br/>
        <w:t>Генеральный директор</w:t>
        <w:br/>
        <w:t>МАУ "ДС "Олимпийский"</w:t>
        <w:br/>
        <w:t>«15» февраля 2021г.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обслуживанию инженерных систем во Дворце спорта «Олимпийский», «Спортивном комплексе» (Ледовый дворец), гостинице «Олимпийская» для нужд МАУ «ДС «Олимпийский»</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"ДВОРЕЦ СПОРТА "ОЛИМПИЙСКИЙ"</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142300, ОБЛАСТЬ МОСКОВСКАЯ,ГОРОД ЧЕХОВ,УЛИЦА ПОЛИГРАФИСТОВ, корпус СТРОЕНИЕ 30</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142300, ОБЛАСТЬ МОСКОВСКАЯ,ГОРОД ЧЕХОВ,УЛИЦА ПОЛИГРАФИСТОВ, корпус СТРОЕНИЕ 30</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ku.olimp@mail.ru</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7-496-7234027</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Леонова Алина Евгеньевна</w:t>
            </w:r>
          </w:p>
        </w:tc>
      </w:tr>
      <w:tr w:rsidR="00CF5F8A" w:rsidRPr="0069451E" w14:paraId="1194451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Оказание услуг по обслуживанию инженерных систем во Дворце спорта «Олимпийский», «Спортивном комплексе» (Ледовый дворец), гостинице «Олимпийская» для нужд МАУ «ДС «Олимпийский»</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 Московская область, г. Чехов, ул. Полиграфистов, стр.30 (Дворец спорта «Олимпийский»)
- Московская область, г. Чехов, ул. Московская, д.104 (Спортивный комплекс «Ледовый дворец»);
- Московская область, г. Чехов, пл. Советская, стр. 2 (гостиница «Олимпийская»);</w:t>
              <w:br/>
              <w:t>График оказания услуг: в соответствии с проектом договора и технической документацией;</w:t>
              <w:br/>
              <w:t>Условия оказания услуг: в соответствии с проектом договора и технической документацией</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Цена договора включает в себя все расходы, в том числе расходы на 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 
Неучтенные затраты Исполнителя по договору, связанные с исполнением договора, но не включенные в цену договора, не подлежат оплате Заказчиком.</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1 481 388 (один миллион четыреста восемьдесят одна тысяча триста восемьдесят восемь) рублей 90 копеек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КБК: 001-1101-0000000000-244, 962 902 рубля 79 копеек</w:t>
              <w:br/>
              <w:t/>
              <w:br/>
              <w:t>2021 - Средства муниципальных образований Московской области</w:t>
              <w:br/>
              <w:t/>
              <w:br/>
              <w:t>КБК: 001-1101-0000000000-244, 518 486 рублей 11 копеек</w:t>
              <w:br/>
              <w:t/>
              <w:br/>
              <w:t>ОКПД2: 81.10.10.000 Услуги по обслуживанию помещений комплексные;</w:t>
              <w:br/>
              <w:t/>
              <w:br/>
              <w:t>ОКВЭД2: 81.10 Деятельность по комплексному обслуживанию помещений;</w:t>
              <w:br/>
              <w:t/>
              <w:br/>
              <w:t>Код КОЗ: 02.04.07 Услуги по обслуживанию помещений комплексные;</w:t>
              <w:br/>
              <w:t/>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Оплата производится Заказчиком в течение 30 календарных  дней  после подписания Сторонами Акта оказания услуг</w:t>
            </w: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документы или копии документов, подтверждающие соответствие участника запроса предложений в электронной форме установленным документацией требованиям к участникам такого запроса предложений</w:t>
              <w:br/>
              <w:t>2.10.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2.11.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2.12.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br/>
              <w:t/>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«16» февраля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«24» февраля 2021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«16» февраля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«01» марта 2021 в 10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«01» марта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«01» марта 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«02» марта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«04» марта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«05» марта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148 138 (сто сорок восемь тысяч сто тридцать восемь) рублей 89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УЧРЕЖДЕНИЕ "ДВОРЕЦ СПОРТА "ОЛИМПИЙСКИЙ"</w:t>
              <w:br/>
              <w:t>ИНН: 5048009882</w:t>
              <w:br/>
              <w:t>КПП: 504801001</w:t>
              <w:br/>
              <w:t>ОКПО: 13310009</w:t>
              <w:br/>
              <w:t>ОГРН: 1035009957245</w:t>
              <w:br/>
              <w:t>ОКТМО: 46784000001</w:t>
              <w:br/>
              <w:t/>
              <w:br/>
              <w:t>Телефон: 7-496-7234027</w:t>
              <w:br/>
              <w:t>Почта: ku.olimp@mail.ru</w:t>
              <w:br/>
              <w:t/>
              <w:br/>
              <w:t>Банк получателя: </w:t>
              <w:br/>
              <w:t>л/с: 33001492081</w:t>
              <w:br/>
              <w:t>р/с: 40102810845370000004</w:t>
              <w:br/>
              <w:t>ГУ Банка России по ЦФО//УФК по Московской области г. Москва</w:t>
              <w:br/>
              <w:t>БИК: 004525987</w:t>
              <w:br/>
              <w:t/>
            </w:r>
          </w:p>
        </w:tc>
      </w:tr>
      <w:tr w:rsidR="00C32232" w:rsidRPr="0069451E" w14:paraId="65EBD5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4" w:name="_Toc31975063"/>
      <w:r>
        <w:rPr>
          <w:rStyle w:val="1a"/>
          <w:b w:val="0"/>
          <w:color w:val="00000A"/>
        </w:rPr>
        <w:br w:type="page"/>
      </w:r>
    </w:p>
    <w:p w14:paraId="4A54392D"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4"/>
    </w:p>
    <w:p w14:paraId="1C225608" w14:textId="77777777" w:rsidR="00D6639E" w:rsidRDefault="00D6639E" w:rsidP="00D0526D">
      <w:pPr>
        <w:pStyle w:val="Style1"/>
        <w:widowControl/>
        <w:ind w:left="567" w:hanging="567"/>
        <w:jc w:val="center"/>
        <w:rPr>
          <w:b/>
          <w:sz w:val="28"/>
          <w:szCs w:val="28"/>
        </w:rPr>
      </w:pPr>
      <w:bookmarkStart w:id="485" w:name="bookmark0"/>
      <w:bookmarkEnd w:id="485"/>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4E48" w14:textId="77777777" w:rsidR="009A4F19" w:rsidRDefault="009A4F19">
      <w:r>
        <w:separator/>
      </w:r>
    </w:p>
  </w:endnote>
  <w:endnote w:type="continuationSeparator" w:id="0">
    <w:p w14:paraId="35B866A0" w14:textId="77777777" w:rsidR="009A4F19" w:rsidRDefault="009A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C59CE" w14:textId="77777777" w:rsidR="009A4F19" w:rsidRDefault="009A4F19">
      <w:r>
        <w:separator/>
      </w:r>
    </w:p>
  </w:footnote>
  <w:footnote w:type="continuationSeparator" w:id="0">
    <w:p w14:paraId="1A323209" w14:textId="77777777" w:rsidR="009A4F19" w:rsidRDefault="009A4F19">
      <w:r>
        <w:continuationSeparator/>
      </w:r>
    </w:p>
  </w:footnote>
  <w:footnote w:id="1">
    <w:p w14:paraId="0296767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6404D" w14:textId="77777777"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3835</TotalTime>
  <Pages>34</Pages>
  <Words>11120</Words>
  <Characters>63385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74357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255</cp:revision>
  <cp:lastPrinted>2020-02-21T12:46:00Z</cp:lastPrinted>
  <dcterms:created xsi:type="dcterms:W3CDTF">2020-05-22T15:38:00Z</dcterms:created>
  <dcterms:modified xsi:type="dcterms:W3CDTF">2021-02-05T15:40:00Z</dcterms:modified>
</cp:coreProperties>
</file>