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Князева Наталья Юрьевна</w:t>
        <w:br/>
        <w:t>Генеральный директор</w:t>
        <w:br/>
        <w:t>АКЦИОНЕРНОЕ ОБЩЕСТВО "НОГИНСКАЯ МУНИЦИПАЛЬНАЯ ИНВЕСТИЦИОННО-ТРАСТОВАЯ КОМПАНИЯ"</w:t>
        <w:br/>
        <w:t>«06» июля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коммунальные услуги</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Оказание комплексных услуг по взысканию задолженности за коммунальные услуги</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br/>
              <w:t>График оказания услуг: ;</w:t>
              <w:br/>
              <w:t>Условия оказания услуг: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2 920 000 (два миллиона девятьсот двадцать тысяч) рублей 00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2 920 000 рублей 00 копеек</w:t>
              <w:br/>
              <w:t/>
              <w:br/>
              <w:t>2022 - За счет средств, полученных при осуществлении иной приносящей доход деятельности от физических лиц, юридических лиц</w:t>
              <w:br/>
              <w:t/>
              <w:br/>
              <w:t>0 рублей 00 копеек</w:t>
              <w:br/>
              <w:t/>
              <w:br/>
              <w:t>ОКПД2: 69.20.40.000 Услуги, связанные с неплатежеспособностью и взысканием задолженности;</w:t>
              <w:br/>
              <w:t/>
              <w:br/>
              <w:t>ОКВЭД2: 69.20.2 Деятельность по оказанию услуг в области бухгалтерского учета;</w:t>
              <w:br/>
              <w:t/>
              <w:br/>
              <w:t>Код КОЗ: 02.01.05.22.01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br/>
              <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«07» июля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«07» июля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июля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июля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июля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«16» июля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«16» июля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июля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