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Лупеко Алексей Анатольевич</w:t>
        <w:br/>
        <w:t>Директор</w:t>
        <w:br/>
        <w:t>МУНИЦИПАЛЬНОЕ БЮДЖЕТНОЕ УЧРЕЖДЕНИЕ ГОРОДСКОГО ОКРУГА ПАВЛОВСКИЙ ПОСАД МОСКОВСКОЙ ОБЛАСТИ "БЛАГОУСТРОЙСТВО"</w:t>
        <w:br/>
        <w:t>«03» апреля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БЮДЖЕТНОЕ УЧРЕЖДЕНИЕ ГОРОДСКОГО ОКРУГА ПАВЛОВСКИЙ ПОСАД МОСКОВСКОЙ ОБЛАСТИ "БЛАГОУСТРОЙСТВО"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142502, ОБЛ МОСКОВСКАЯ, Г. ПАВЛОВСКИЙ ПОСАД, УЛ БОЛЬШАЯ ПОКРОВСКАЯ, ДОМ 45/2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142502, ОБЛ МОСКОВСКАЯ, Г. ПАВЛОВСКИЙ ПОСАД, УЛ БОЛЬШАЯ ПОКРОВСКАЯ, ДОМ 45/2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ssedov80@mail.ru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7-925-4654379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Смолкотина Людмила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частью X «ТЕХНИЧЕСКАЯ ЧАСТЬ КОНКУРСНОЙ ДОКУМЕНТАЦИИ» документации и Договором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172 689 616 (сто семьдесят два миллиона шестьсот восемьдесят девять тысяч шестьсот шестнадцать) рублей 80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0,50% от начальной (максимальной) цены договора, что составляет: 863 448 (восемьсот шестьдесят три тысячи четыреста сорок восемь) рублей 08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«29» марта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«14» апреля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«29» марта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«14» апреля 2023 в 09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«29» марта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апреля 2023 в 09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«14»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«17» апреля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апреля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«20» апреля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