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03.06.06.05.01</w:t>
                                        </w:r>
                                      </w:sdtContent>
                                    </w:sdt>
                                    <w:r w:rsidR="00C40026">
                                      <w:rPr>
                                        <w:b/>
                                      </w:rPr>
                                      <w:t xml:space="preserve"> / </w:t>
                                    </w:r>
                                    <w:sdt>
                                      <w:sdtPr>
                                        <w:alias w:val="Simple"/>
                                        <w:tag w:val="Simple"/>
                                        <w:id w:val="267122475"/>
                                        <w:placeholder>
                                          <w:docPart w:val="4BC6E3ED1F0A407FBE83D7240089C50C"/>
                                        </w:placeholder>
                                        <w:text/>
                                      </w:sdtPr>
                                      <w:sdtEndPr/>
                                      <w:sdtContent>
                                        <w:r w:rsidR="00C40026">
                                          <w:t>41.20.40.900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Работы по ремонту школы</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Работы по ремонту школы</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01.07.2021</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10.08.2021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141292 Московская область г.Красноармейск, мк-н Северный дом 24</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043269-21</w:t>
            </w:r>
          </w:sdtContent>
        </w:sdt>
      </w:sdtContent>
    </w:sdt>
  </w:p>
  <w:p w:rsidR="001D424F" w:rsidRDefault="001D424F" w14:paraId="41AABE56" w14:textId="77777777">
    <w:pPr>
      <w:pStyle w:val="af3"/>
    </w:pPr>
  </w:p>
</w:ftr>
</file>

<file path=word/footer3.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