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039600-23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насосов инфузионных общего назначения с питанием от сети, 229860</w:t>
      </w:r>
    </w:p>
    <w:p w:rsidR="007C3BF1" w:rsidRDefault="0068700B">
      <w:pPr>
        <w:ind w:left="1418"/>
      </w:pPr>
      <w:r w:rsidR="008C2287">
        <w:t xml:space="preserve">Цена </w:t>
      </w:r>
      <w:r w:rsidR="008C2287">
        <w:t>договора</w:t>
      </w:r>
      <w:r w:rsidR="008C2287">
        <w:t>, руб.:</w:t>
      </w:r>
      <w:r w:rsidR="001406FC">
        <w:t xml:space="preserve"> </w:t>
      </w:r>
      <w:r w:rsidR="008C2287">
        <w:t>4 456 158,74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01.71.03.03.01.01.01.6647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Насос шприцевой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22,00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Насос шприцевой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насосов инфузионных общего назначения с питанием от сети, 229860)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