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01.21.02.02.04.02.01.03.01.01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Аминокислоты для парентерального питания+Прочие препараты [Жировые эмульсии для парентерального питания+Декстроза+Минералы] (МНН)</w:t>
            </w:r>
            <w:r w:rsidR="00DB3537">
              <w:rPr>
                <w:sz w:val="18"/>
                <w:szCs w:val="18"/>
              </w:rPr>
              <w:t xml:space="preserve"> </w:t>
            </w:r>
            <w:r w:rsidRPr="00652325" w:rsidR="00DB3537">
              <w:rPr>
                <w:sz w:val="18"/>
                <w:szCs w:val="18"/>
              </w:rPr>
              <w:t xml:space="preserve">/ </w:t>
            </w:r>
            <w:r w:rsidRPr="002E25F2" w:rsidR="00DB3537">
              <w:rPr>
                <w:sz w:val="18"/>
                <w:szCs w:val="18"/>
              </w:rPr>
              <w:t>Аминокислоты для парентерального питания+Прочие препараты [Жировые эмульсии для парентерального питания+Декстроза+Минералы]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01.21.02.02.04.02.01.03.01.01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Аминокислоты для парентерального питания+Прочие препараты [Жировые эмульсии для парентерального питания+Декстроза+Минералы] (МНН)</w:t>
            </w:r>
            <w:r w:rsidR="00DB3537">
              <w:rPr>
                <w:sz w:val="18"/>
                <w:szCs w:val="18"/>
              </w:rPr>
              <w:t xml:space="preserve"> </w:t>
            </w:r>
            <w:r w:rsidRPr="00652325" w:rsidR="00DB3537">
              <w:rPr>
                <w:sz w:val="18"/>
                <w:szCs w:val="18"/>
              </w:rPr>
              <w:t xml:space="preserve">/ </w:t>
            </w:r>
            <w:r w:rsidRPr="002E25F2" w:rsidR="00DB3537">
              <w:rPr>
                <w:sz w:val="18"/>
                <w:szCs w:val="18"/>
              </w:rPr>
              <w:t>Аминокислоты для парентерального питания+Прочие препараты [Жировые эмульсии для парентерального питания+Декстроза+Минералы]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(Парентеральное питание)</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Аминокислоты для парентерального питания+Прочие препараты [Жировые эмульсии для парентерального питания+Декстроза+Минералы]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112 775,60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Аминокислоты для парентерального питания+Прочие препараты [Жировые эмульсии для парентерального питания+Декстроза+Минералы]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112 108,90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(Парентеральное питание)</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(Парентеральное питание))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(Парентеральное питание)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(Парентеральное питание)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(Парентеральное питание)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(Парентеральное питание)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(Парентеральное питание)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101176-22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