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025786-25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2 280 000,00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раб.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500187" w:rsidP="0050671D" w:rsidRDefault="00500187">
            <w:pPr>
              <w:pStyle w:val="aff1"/>
              <w:keepNext/>
              <w:rPr>
                <w:b/>
              </w:rPr>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260" w:type="dxa"/>
            <w:shd w:val="clear" w:color="auto" w:fill="auto"/>
          </w:tcPr>
          <w:p w:rsidR="00500187" w:rsidP="0050671D" w:rsidRDefault="00500187">
            <w:pPr>
              <w:pStyle w:val="19"/>
              <w:keepNext/>
            </w:pPr>
            <w:r>
              <w:t>Наименование</w:t>
            </w:r>
          </w:p>
        </w:tc>
        <w:tc>
          <w:tcPr>
            <w:tcW w:w="1418" w:type="dxa"/>
          </w:tcPr>
          <w:p w:rsidR="00500187" w:rsidP="0050671D" w:rsidRDefault="00500187">
            <w:pPr>
              <w:pStyle w:val="19"/>
              <w:keepNext/>
            </w:pPr>
            <w:r>
              <w:t>Цена единицы, руб.</w:t>
            </w:r>
          </w:p>
        </w:tc>
        <w:tc>
          <w:tcPr>
            <w:tcW w:w="1374" w:type="dxa"/>
          </w:tcPr>
          <w:p w:rsidR="00500187" w:rsidP="0050671D" w:rsidRDefault="00500187">
            <w:pPr>
              <w:pStyle w:val="19"/>
              <w:keepNext/>
            </w:pPr>
            <w:r>
              <w:t>Количество</w:t>
            </w:r>
          </w:p>
        </w:tc>
        <w:tc>
          <w:tcPr>
            <w:tcW w:w="1350" w:type="dxa"/>
            <w:shd w:val="clear" w:color="auto" w:fill="auto"/>
          </w:tcPr>
          <w:p w:rsidR="00500187" w:rsidP="0050671D" w:rsidRDefault="00500187">
            <w:pPr>
              <w:pStyle w:val="19"/>
              <w:keepNext/>
            </w:pPr>
            <w:r>
              <w:t>Единицы измерения</w:t>
            </w:r>
          </w:p>
        </w:tc>
        <w:tc>
          <w:tcPr>
            <w:tcW w:w="1245" w:type="dxa"/>
          </w:tcPr>
          <w:p w:rsidR="00500187" w:rsidP="0050671D" w:rsidRDefault="00500187">
            <w:pPr>
              <w:pStyle w:val="19"/>
              <w:keepNext/>
            </w:pPr>
            <w:r>
              <w:t>Размер НДС</w:t>
            </w:r>
          </w:p>
        </w:tc>
        <w:tc>
          <w:tcPr>
            <w:tcW w:w="1417" w:type="dxa"/>
          </w:tcPr>
          <w:p w:rsidR="00500187" w:rsidP="0050671D" w:rsidRDefault="00500187">
            <w:pPr>
              <w:pStyle w:val="19"/>
              <w:keepNext/>
            </w:pPr>
            <w:r>
              <w:t xml:space="preserve">Общая стоимость без НДС, </w:t>
            </w:r>
            <w:proofErr w:type="spellStart"/>
            <w:r>
              <w:t>руб</w:t>
            </w:r>
            <w:proofErr w:type="spellEnd"/>
          </w:p>
        </w:tc>
        <w:tc>
          <w:tcPr>
            <w:tcW w:w="1418" w:type="dxa"/>
          </w:tcPr>
          <w:p w:rsidR="00500187" w:rsidP="0050671D" w:rsidRDefault="00500187">
            <w:pPr>
              <w:pStyle w:val="19"/>
              <w:keepNext/>
            </w:pPr>
            <w:r>
              <w:t>Размер НДС, руб.</w:t>
            </w:r>
          </w:p>
        </w:tc>
        <w:tc>
          <w:tcPr>
            <w:tcW w:w="1701" w:type="dxa"/>
            <w:shd w:val="clear" w:color="auto" w:fill="auto"/>
          </w:tcPr>
          <w:p w:rsidR="00500187" w:rsidP="0050671D" w:rsidRDefault="00500187">
            <w:pPr>
              <w:pStyle w:val="19"/>
              <w:keepNext/>
            </w:pPr>
            <w:r>
              <w:t>Общая стоимость, руб.</w:t>
            </w:r>
          </w:p>
        </w:tc>
      </w:tr>
      <w:tr>
        <w:trPr>
          <w:cantSplit/>
        </w:trPr>
        <w:tc>
          <w:tcPr>
            <w:tcW w:w="1526" w:type="dxa"/>
            <w:shd w:val="clear" w:color="auto" w:fill="auto"/>
          </w:tcPr>
          <w:p w:rsidRPr="00415D72" w:rsidR="00500187" w:rsidP="0050671D" w:rsidRDefault="00500187">
            <w:pPr>
              <w:pStyle w:val="aff1"/>
              <w:rPr>
                <w:rFonts w:eastAsiaTheme="minorHAnsi"/>
                <w:lang w:val="en-US"/>
              </w:rPr>
            </w:pPr>
            <w:r w:rsidRPr="00C15977">
              <w:rPr>
                <w:lang w:val="en-US"/>
              </w:rPr>
              <w:t>21.219.02.01.01.01.001</w:t>
            </w:r>
            <w:r>
              <w:rPr>
                <w:lang w:val="en-US"/>
              </w:rPr>
              <w:t xml:space="preserve"> / </w:t>
            </w:r>
            <w:r w:rsidRPr="00C15977">
              <w:rPr>
                <w:lang w:val="en-US"/>
              </w:rPr>
              <w:t>02.29.05.02</w:t>
            </w:r>
            <w:r w:rsidRPr="00C15977">
              <w:rPr>
                <w:b/>
                <w:lang w:val="en-US"/>
              </w:rPr>
              <w:t xml:space="preserve"> / </w:t>
            </w:r>
            <w:r w:rsidRPr="00C15977">
              <w:rPr>
                <w:lang w:val="en-US"/>
              </w:rPr>
              <w:t>71.20.11.190</w:t>
            </w:r>
          </w:p>
        </w:tc>
        <w:tc>
          <w:tcPr>
            <w:tcW w:w="3260" w:type="dxa"/>
            <w:shd w:val="clear" w:color="auto" w:fill="auto"/>
          </w:tcPr>
          <w:p w:rsidR="00500187" w:rsidP="0050671D" w:rsidRDefault="00500187">
            <w:pPr>
              <w:pStyle w:val="aff1"/>
              <w:rPr>
                <w:lang w:val="en-US"/>
              </w:rPr>
            </w:pPr>
            <w:r>
              <w:t>Услуги в области испытаний и анализа состава и чистоты прочих веществ</w:t>
            </w:r>
          </w:p>
        </w:tc>
        <w:tc>
          <w:tcPr>
            <w:tcW w:w="1418" w:type="dxa"/>
          </w:tcPr>
          <w:p w:rsidR="00500187" w:rsidP="0050671D" w:rsidRDefault="00500187">
            <w:pPr>
              <w:pStyle w:val="aff1"/>
              <w:jc w:val="right"/>
              <w:rPr>
                <w:lang w:val="en-US"/>
              </w:rPr>
            </w:pPr>
            <w:r>
              <w:rPr>
                <w:lang w:val="en-US"/>
              </w:rPr>
              <w:t>(</w:t>
            </w:r>
            <w:r>
              <w:t>не указано</w:t>
            </w:r>
            <w:r>
              <w:rPr>
                <w:lang w:val="en-US"/>
              </w:rPr>
              <w:t>)*</w:t>
            </w:r>
          </w:p>
        </w:tc>
        <w:tc>
          <w:tcPr>
            <w:tcW w:w="1374" w:type="dxa"/>
          </w:tcPr>
          <w:p w:rsidR="00500187" w:rsidP="0050671D" w:rsidRDefault="00500187">
            <w:pPr>
              <w:pStyle w:val="aff1"/>
              <w:rPr>
                <w:lang w:val="en-US"/>
              </w:rPr>
            </w:pPr>
            <w:r>
              <w:rPr>
                <w:lang w:val="en-US"/>
              </w:rPr>
              <w:t>1,00</w:t>
            </w:r>
          </w:p>
        </w:tc>
        <w:tc>
          <w:tcPr>
            <w:tcW w:w="1350" w:type="dxa"/>
            <w:shd w:val="clear" w:color="auto" w:fill="auto"/>
          </w:tcPr>
          <w:p w:rsidR="00500187" w:rsidP="0050671D" w:rsidRDefault="00500187">
            <w:pPr>
              <w:pStyle w:val="aff1"/>
              <w:rPr>
                <w:lang w:val="en-US"/>
              </w:rPr>
            </w:pPr>
            <w:r>
              <w:rPr>
                <w:lang w:val="en-US"/>
              </w:rPr>
              <w:t>Условная единица</w:t>
            </w:r>
          </w:p>
        </w:tc>
        <w:tc>
          <w:tcPr>
            <w:tcW w:w="1245" w:type="dxa"/>
          </w:tcPr>
          <w:p w:rsidR="00500187" w:rsidP="0050671D" w:rsidRDefault="00500187">
            <w:pPr>
              <w:pStyle w:val="aff1"/>
              <w:jc w:val="right"/>
              <w:rPr>
                <w:lang w:val="en-US"/>
              </w:rPr>
            </w:pPr>
            <w:r>
              <w:rPr>
                <w:lang w:val="en-US"/>
              </w:rPr>
              <w:t>(</w:t>
            </w:r>
            <w:r>
              <w:t>не указано</w:t>
            </w:r>
            <w:r>
              <w:rPr>
                <w:lang w:val="en-US"/>
              </w:rPr>
              <w:t>)*</w:t>
            </w:r>
          </w:p>
        </w:tc>
        <w:tc>
          <w:tcPr>
            <w:tcW w:w="1417" w:type="dxa"/>
          </w:tcPr>
          <w:p w:rsidR="00500187" w:rsidP="0050671D" w:rsidRDefault="00500187">
            <w:pPr>
              <w:pStyle w:val="aff1"/>
              <w:jc w:val="right"/>
              <w:rPr>
                <w:lang w:val="en-US"/>
              </w:rPr>
            </w:pPr>
            <w:r>
              <w:rPr>
                <w:lang w:val="en-US"/>
              </w:rPr>
              <w:t>(</w:t>
            </w:r>
            <w:r>
              <w:t>не указано</w:t>
            </w:r>
            <w:r>
              <w:rPr>
                <w:lang w:val="en-US"/>
              </w:rPr>
              <w:t>)*</w:t>
            </w:r>
          </w:p>
        </w:tc>
        <w:tc>
          <w:tcPr>
            <w:tcW w:w="1418" w:type="dxa"/>
          </w:tcPr>
          <w:p w:rsidR="00500187" w:rsidP="0050671D" w:rsidRDefault="00500187">
            <w:pPr>
              <w:pStyle w:val="aff1"/>
              <w:jc w:val="right"/>
              <w:rPr>
                <w:lang w:val="en-US"/>
              </w:rPr>
            </w:pPr>
            <w:r>
              <w:rPr>
                <w:lang w:val="en-US"/>
              </w:rPr>
              <w:t>(</w:t>
            </w:r>
            <w:r>
              <w:t>не указано</w:t>
            </w:r>
            <w:r>
              <w:rPr>
                <w:lang w:val="en-US"/>
              </w:rPr>
              <w:t>)*</w:t>
            </w:r>
          </w:p>
        </w:tc>
        <w:tc>
          <w:tcPr>
            <w:tcW w:w="1701" w:type="dxa"/>
            <w:shd w:val="clear" w:color="auto" w:fill="auto"/>
          </w:tcPr>
          <w:p w:rsidR="00500187" w:rsidP="0050671D" w:rsidRDefault="00500187">
            <w:pPr>
              <w:pStyle w:val="aff1"/>
              <w:jc w:val="right"/>
              <w:rPr>
                <w:lang w:val="en-US"/>
              </w:rPr>
            </w:pPr>
            <w:r>
              <w:rPr>
                <w:lang w:val="en-US"/>
              </w:rPr>
              <w:t>(</w:t>
            </w:r>
            <w:r>
              <w:t>не указано</w:t>
            </w:r>
            <w:r>
              <w:rPr>
                <w:lang w:val="en-US"/>
              </w:rPr>
              <w:t>)*</w:t>
            </w:r>
          </w:p>
        </w:tc>
      </w:tr>
    </w:tbl>
    <w:p w:rsidR="00754937" w:rsidP="00500187" w:rsidRDefault="00500187">
      <w:pPr>
        <w:pStyle w:val="aff1"/>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в области испытаний и анализа состава и чистоты прочих веществ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0A3F94">
            <w:pPr>
              <w:pStyle w:val="aff1"/>
              <w:rPr>
                <w:lang w:val="en-US"/>
              </w:rPr>
            </w:pPr>
            <w:r w:rsidRPr="000B5400" w:rsidR="008C2287">
              <w:rPr>
                <w:lang w:val="en-US"/>
              </w:rPr>
              <w:t>31.12.2025 (МСК)</w:t>
            </w:r>
          </w:p>
        </w:tc>
        <w:tc>
          <w:tcPr>
            <w:tcW w:w="622" w:type="pct"/>
            <w:shd w:val="clear" w:color="auto" w:fill="auto"/>
          </w:tcPr>
          <w:p w:rsidRPr="000B5400" w:rsidR="007C3BF1" w:rsidRDefault="000A3F94">
            <w:pPr>
              <w:pStyle w:val="aff1"/>
              <w:rPr>
                <w:lang w:val="en-US"/>
              </w:rPr>
            </w:pPr>
            <w:r w:rsidRPr="000B5400" w:rsidR="008C2287">
              <w:rPr>
                <w:lang w:val="en-US"/>
              </w:rPr>
              <w:t>каждый мес. (от начала)</w:t>
            </w:r>
          </w:p>
        </w:tc>
        <w:tc>
          <w:tcPr>
            <w:tcW w:w="610" w:type="pct"/>
            <w:shd w:val="clear" w:color="auto" w:fill="auto"/>
          </w:tcPr>
          <w:p w:rsidRPr="000B5400" w:rsidR="007C3BF1" w:rsidRDefault="000A3F94">
            <w:pPr>
              <w:pStyle w:val="aff1"/>
              <w:rPr>
                <w:lang w:val="en-US"/>
              </w:rPr>
            </w:pPr>
            <w:r w:rsidRPr="000B5400" w:rsidR="008C2287">
              <w:rPr>
                <w:lang w:val="en-US"/>
              </w:rPr>
              <w:t>Исполнитель</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№01</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выполнении работ (оказании услуг), унифицированный формат, приказ ФНС России от 30.11.2015 г. № ММВ-7-10/552@» (Оказание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A3F94">
            <w:pPr>
              <w:pStyle w:val="aff1"/>
            </w:pPr>
            <w:r w:rsidR="008C2287">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Счёт-фактура (СЧФ), формат УПД, утвержденный приказом ФНС России</w:t>
            </w:r>
          </w:p>
        </w:tc>
        <w:tc>
          <w:tcPr>
            <w:tcW w:w="1821" w:type="pct"/>
            <w:vMerge w:val="restart"/>
            <w:shd w:val="clear" w:color="auto" w:fill="auto"/>
          </w:tcPr>
          <w:p w:rsidR="007C3BF1" w:rsidRDefault="000A3F94">
            <w:pPr>
              <w:pStyle w:val="aff1"/>
            </w:pPr>
            <w:r w:rsidR="008C2287">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№01</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5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A3F94">
            <w:pPr>
              <w:pStyle w:val="aff1"/>
            </w:pPr>
            <w:r w:rsidR="008C2287">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Исполнитель</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