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p w:rsidR="00577512" w:rsidP="001D424F" w:rsidRDefault="00577512" w14:paraId="69F46382" w14:textId="77777777">
      <w:pPr>
        <w:pStyle w:val="aff2"/>
        <w:rPr>
          <w:sz w:val="2"/>
          <w:szCs w:val="2"/>
          <w:lang w:val="en-US"/>
        </w:rPr>
      </w:pPr>
    </w:p>
    <w:p w:rsidR="006F7921" w:rsidP="001D424F" w:rsidRDefault="006F7921" w14:paraId="7FE7985B" w14:textId="77777777">
      <w:pPr>
        <w:pStyle w:val="aff2"/>
        <w:rPr>
          <w:sz w:val="2"/>
          <w:szCs w:val="2"/>
          <w:lang w:val="en-US"/>
        </w:rPr>
      </w:pPr>
    </w:p>
    <w:tbl>
      <w:tblPr>
        <w:tblpPr w:leftFromText="180" w:rightFromText="180" w:vertAnchor="text" w:horzAnchor="page" w:tblpX="1210" w:tblpY="22"/>
        <w:tblW w:w="14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2835"/>
        <w:gridCol w:w="1276"/>
        <w:gridCol w:w="1134"/>
        <w:gridCol w:w="1275"/>
        <w:gridCol w:w="992"/>
        <w:gridCol w:w="1418"/>
        <w:gridCol w:w="992"/>
        <w:gridCol w:w="1134"/>
        <w:gridCol w:w="1275"/>
        <w:gridCol w:w="1134"/>
      </w:tblGrid>
      <w:tr>
        <w:trPr>
          <w:tblHeader/>
        </w:trPr>
        <w:tc>
          <w:tcPr>
            <w:tcW w:w="1526" w:type="dxa"/>
            <w:shd w:val="clear" w:color="auto" w:fill="auto"/>
          </w:tcPr>
          <w:p w:rsidR="00B924CB" w:rsidP="001D424F" w:rsidRDefault="00F50E97" w14:paraId="3DF6B19B" w14:textId="77777777">
            <w:pPr>
              <w:pStyle w:val="aff2"/>
              <w:rPr>
                <w:b/>
              </w:rPr>
            </w:pPr>
            <w:r w:rsidR="00B924CB">
              <w:rPr>
                <w:rStyle w:val="1a"/>
                <w:rFonts w:eastAsiaTheme="minorHAnsi"/>
              </w:rPr>
              <w:t>КОЗ / ОКПД2 / КТРУ</w:t>
            </w:r>
          </w:p>
        </w:tc>
        <w:tc>
          <w:tcPr>
            <w:tcW w:w="2835" w:type="dxa"/>
            <w:shd w:val="clear" w:color="auto" w:fill="auto"/>
          </w:tcPr>
          <w:p w:rsidR="00B924CB" w:rsidP="001D424F" w:rsidRDefault="00B516EE" w14:paraId="3C08504A" w14:textId="093FB017">
            <w:pPr>
              <w:pStyle w:val="19"/>
            </w:pPr>
            <w:r>
              <w:t>Наименова</w:t>
            </w:r>
            <w:r w:rsidRPr="0050292F">
              <w:t>ние объекта закупки</w:t>
            </w:r>
          </w:p>
        </w:tc>
        <w:tc>
          <w:tcPr>
            <w:tcW w:w="1276" w:type="dxa"/>
          </w:tcPr>
          <w:p w:rsidR="00B924CB" w:rsidP="001D424F" w:rsidRDefault="00B924CB" w14:paraId="25FCFD94" w14:textId="77777777">
            <w:pPr>
              <w:pStyle w:val="19"/>
            </w:pPr>
            <w:r>
              <w:t>Цена единицы, руб.</w:t>
            </w:r>
          </w:p>
        </w:tc>
        <w:tc>
          <w:tcPr>
            <w:tcW w:w="1134" w:type="dxa"/>
          </w:tcPr>
          <w:p w:rsidR="00B924CB" w:rsidP="001D424F" w:rsidRDefault="00B924CB" w14:paraId="7598D04F" w14:textId="77777777">
            <w:pPr>
              <w:pStyle w:val="19"/>
            </w:pPr>
            <w:r>
              <w:t>Количество</w:t>
            </w:r>
          </w:p>
        </w:tc>
        <w:tc>
          <w:tcPr>
            <w:tcW w:w="1275" w:type="dxa"/>
            <w:shd w:val="clear" w:color="auto" w:fill="auto"/>
          </w:tcPr>
          <w:p w:rsidR="00B924CB" w:rsidP="001D424F" w:rsidRDefault="00B924CB" w14:paraId="027C53B9" w14:textId="77777777">
            <w:pPr>
              <w:pStyle w:val="19"/>
            </w:pPr>
            <w:r>
              <w:t>Единицы измерения</w:t>
            </w:r>
          </w:p>
        </w:tc>
        <w:tc>
          <w:tcPr>
            <w:tcW w:w="992" w:type="dxa"/>
          </w:tcPr>
          <w:p w:rsidR="00B924CB" w:rsidP="001D424F" w:rsidRDefault="00B924CB" w14:paraId="76A49EC5" w14:textId="77777777">
            <w:pPr>
              <w:pStyle w:val="19"/>
            </w:pPr>
            <w:r>
              <w:t>Размер НДС</w:t>
            </w:r>
          </w:p>
        </w:tc>
        <w:tc>
          <w:tcPr>
            <w:tcW w:w="1418" w:type="dxa"/>
          </w:tcPr>
          <w:p w:rsidRPr="00B56406" w:rsidR="00B924CB" w:rsidP="001D424F" w:rsidRDefault="00B924CB" w14:paraId="246BDF1C" w14:textId="4A025E62">
            <w:pPr>
              <w:pStyle w:val="19"/>
            </w:pPr>
            <w:r>
              <w:t>Общая стоимость без НДС, руб</w:t>
            </w:r>
            <w:r w:rsidRPr="00B56406" w:rsidR="00B56406">
              <w:t>.</w:t>
            </w:r>
          </w:p>
        </w:tc>
        <w:tc>
          <w:tcPr>
            <w:tcW w:w="992" w:type="dxa"/>
          </w:tcPr>
          <w:p w:rsidR="00B924CB" w:rsidP="001D424F" w:rsidRDefault="00B924CB" w14:paraId="595B032C" w14:textId="77777777">
            <w:pPr>
              <w:pStyle w:val="19"/>
            </w:pPr>
            <w:r>
              <w:t>Размер НДС, руб.</w:t>
            </w:r>
          </w:p>
        </w:tc>
        <w:tc>
          <w:tcPr>
            <w:tcW w:w="1134" w:type="dxa"/>
            <w:shd w:val="clear" w:color="auto" w:fill="auto"/>
          </w:tcPr>
          <w:p w:rsidR="00B924CB" w:rsidP="001D424F" w:rsidRDefault="00B924CB" w14:paraId="13958C33" w14:textId="77777777">
            <w:pPr>
              <w:pStyle w:val="19"/>
            </w:pPr>
            <w:r>
              <w:t>Общая стоимость, руб.</w:t>
            </w:r>
          </w:p>
        </w:tc>
        <w:tc>
          <w:tcPr>
            <w:tcW w:w="1275" w:type="dxa"/>
          </w:tcPr>
          <w:p w:rsidR="00B924CB" w:rsidP="001D424F" w:rsidRDefault="00B924CB" w14:paraId="6B303281" w14:textId="77777777">
            <w:pPr>
              <w:pStyle w:val="19"/>
            </w:pPr>
            <w:r>
              <w:t>Страна происхождения товара</w:t>
            </w:r>
          </w:p>
        </w:tc>
        <w:tc>
          <w:tcPr>
            <w:tcW w:w="1134" w:type="dxa"/>
          </w:tcPr>
          <w:p w:rsidR="00B924CB" w:rsidP="001D424F" w:rsidRDefault="00B924CB" w14:paraId="330E5E9F" w14:textId="77777777">
            <w:pPr>
              <w:pStyle w:val="19"/>
            </w:pPr>
            <w:r>
              <w:t>Производитель</w:t>
            </w:r>
          </w:p>
        </w:tc>
      </w:tr>
      <w:tr>
        <w:tc>
          <w:tcPr>
            <w:tcW w:w="1526" w:type="dxa"/>
            <w:tcBorders>
              <w:bottom w:val="single" w:color="auto" w:sz="4" w:space="0"/>
            </w:tcBorders>
            <w:shd w:val="clear" w:color="auto" w:fill="auto"/>
          </w:tcPr>
          <w:p w:rsidR="00B924CB" w:rsidP="001D424F" w:rsidRDefault="00F50E97" w14:paraId="78372AEA" w14:textId="77777777">
            <w:pPr>
              <w:pStyle w:val="aff2"/>
            </w:pPr>
            <w:r w:rsidR="00B924CB">
              <w:t>01.08.01.03.04.06</w:t>
            </w:r>
            <w:r w:rsidR="00B924CB">
              <w:rPr>
                <w:b/>
              </w:rPr>
              <w:t xml:space="preserve"> / </w:t>
            </w:r>
            <w:r w:rsidR="00B924CB">
              <w:t>19.20.21.125</w:t>
            </w:r>
          </w:p>
          <w:p w:rsidR="00B924CB" w:rsidP="001D424F" w:rsidRDefault="00F50E97" w14:paraId="77763C34" w14:textId="77777777">
            <w:pPr>
              <w:pStyle w:val="aff2"/>
            </w:pPr>
          </w:p>
        </w:tc>
        <w:tc>
          <w:tcPr>
            <w:tcW w:w="2835" w:type="dxa"/>
            <w:tcBorders>
              <w:bottom w:val="single" w:color="auto" w:sz="4" w:space="0"/>
            </w:tcBorders>
            <w:shd w:val="clear" w:color="auto" w:fill="auto"/>
          </w:tcPr>
          <w:p w:rsidR="00B924CB" w:rsidP="001D424F" w:rsidRDefault="00F50E97" w14:paraId="0DF097FF" w14:textId="77777777">
            <w:pPr>
              <w:pStyle w:val="aff2"/>
              <w:rPr>
                <w:lang w:val="en-US"/>
              </w:rPr>
            </w:pPr>
            <w:r w:rsidR="00B924CB">
              <w:rPr>
                <w:lang w:val="en-US"/>
              </w:rPr>
              <w:t>Бензин автомобильный АИ-92 экологического класса не ниже К5 (оптовая реализация)</w:t>
            </w:r>
          </w:p>
        </w:tc>
        <w:tc>
          <w:tcPr>
            <w:tcW w:w="1276" w:type="dxa"/>
            <w:tcBorders>
              <w:bottom w:val="single" w:color="auto" w:sz="4" w:space="0"/>
            </w:tcBorders>
          </w:tcPr>
          <w:p w:rsidR="00B924CB" w:rsidP="001D424F" w:rsidRDefault="00F50E97" w14:paraId="6203C3E9"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tcPr>
          <w:p w:rsidR="00B924CB" w:rsidP="001D424F" w:rsidRDefault="00F50E97" w14:paraId="508D1B64" w14:textId="77777777">
            <w:pPr>
              <w:pStyle w:val="aff2"/>
              <w:rPr>
                <w:rFonts w:eastAsiaTheme="minorHAnsi"/>
              </w:rPr>
            </w:pPr>
            <w:r w:rsidR="00B924CB">
              <w:rPr>
                <w:lang w:val="en-US"/>
              </w:rPr>
              <w:t>(</w:t>
            </w:r>
            <w:r w:rsidR="00B924CB">
              <w:t>не указано</w:t>
            </w:r>
            <w:r w:rsidR="00B924CB">
              <w:rPr>
                <w:lang w:val="en-US"/>
              </w:rPr>
              <w:t>)*</w:t>
            </w:r>
          </w:p>
        </w:tc>
        <w:tc>
          <w:tcPr>
            <w:tcW w:w="1275" w:type="dxa"/>
            <w:tcBorders>
              <w:bottom w:val="single" w:color="auto" w:sz="4" w:space="0"/>
            </w:tcBorders>
            <w:shd w:val="clear" w:color="auto" w:fill="auto"/>
          </w:tcPr>
          <w:p w:rsidR="00B924CB" w:rsidP="001D424F" w:rsidRDefault="00F50E97" w14:paraId="5060B9EC" w14:textId="77777777">
            <w:pPr>
              <w:pStyle w:val="aff2"/>
              <w:rPr>
                <w:rFonts w:eastAsiaTheme="minorHAnsi"/>
              </w:rPr>
            </w:pPr>
            <w:r w:rsidR="00B924CB">
              <w:rPr>
                <w:lang w:val="en-US"/>
              </w:rPr>
              <w:t>(</w:t>
            </w:r>
            <w:r w:rsidR="00B924CB">
              <w:t>не указано</w:t>
            </w:r>
            <w:r w:rsidR="00B924CB">
              <w:rPr>
                <w:lang w:val="en-US"/>
              </w:rPr>
              <w:t>)*</w:t>
            </w:r>
          </w:p>
          <w:p w:rsidR="00B924CB" w:rsidP="001D424F" w:rsidRDefault="00B924CB" w14:paraId="29C97079" w14:textId="77777777">
            <w:pPr>
              <w:pStyle w:val="aff2"/>
              <w:rPr>
                <w:lang w:val="en-US"/>
              </w:rPr>
            </w:pPr>
          </w:p>
        </w:tc>
        <w:tc>
          <w:tcPr>
            <w:tcW w:w="992" w:type="dxa"/>
            <w:tcBorders>
              <w:bottom w:val="single" w:color="auto" w:sz="4" w:space="0"/>
            </w:tcBorders>
          </w:tcPr>
          <w:p w:rsidR="00B924CB" w:rsidP="001D424F" w:rsidRDefault="00F50E97" w14:paraId="2FEC8E5A" w14:textId="77777777">
            <w:pPr>
              <w:pStyle w:val="aff2"/>
              <w:jc w:val="right"/>
              <w:rPr>
                <w:lang w:val="en-US"/>
              </w:rPr>
            </w:pPr>
            <w:r w:rsidR="00B924CB">
              <w:rPr>
                <w:lang w:val="en-US"/>
              </w:rPr>
              <w:t>20/120</w:t>
            </w:r>
          </w:p>
        </w:tc>
        <w:tc>
          <w:tcPr>
            <w:tcW w:w="1418" w:type="dxa"/>
            <w:tcBorders>
              <w:bottom w:val="single" w:color="auto" w:sz="4" w:space="0"/>
            </w:tcBorders>
          </w:tcPr>
          <w:p w:rsidR="00B924CB" w:rsidP="001D424F" w:rsidRDefault="00F50E97" w14:paraId="211DD59C" w14:textId="77777777">
            <w:pPr>
              <w:pStyle w:val="aff2"/>
              <w:jc w:val="right"/>
              <w:rPr>
                <w:lang w:val="en-US"/>
              </w:rPr>
            </w:pPr>
            <w:r w:rsidR="00B924CB">
              <w:rPr>
                <w:lang w:val="en-US"/>
              </w:rPr>
              <w:t>(</w:t>
            </w:r>
            <w:r w:rsidR="00B924CB">
              <w:t>не указано</w:t>
            </w:r>
            <w:r w:rsidR="00B924CB">
              <w:rPr>
                <w:lang w:val="en-US"/>
              </w:rPr>
              <w:t>)*</w:t>
            </w:r>
          </w:p>
        </w:tc>
        <w:tc>
          <w:tcPr>
            <w:tcW w:w="992" w:type="dxa"/>
            <w:tcBorders>
              <w:bottom w:val="single" w:color="auto" w:sz="4" w:space="0"/>
            </w:tcBorders>
          </w:tcPr>
          <w:p w:rsidR="00B924CB" w:rsidP="001D424F" w:rsidRDefault="00F50E97" w14:paraId="10987D05" w14:textId="77777777">
            <w:pPr>
              <w:pStyle w:val="aff2"/>
              <w:jc w:val="right"/>
              <w:rPr>
                <w:lang w:val="en-US"/>
              </w:rPr>
            </w:pPr>
            <w:r w:rsidR="00B924CB">
              <w:rPr>
                <w:lang w:val="en-US"/>
              </w:rPr>
              <w:t>(</w:t>
            </w:r>
            <w:r w:rsidR="00B924CB">
              <w:t>не указано</w:t>
            </w:r>
            <w:r w:rsidR="00B924CB">
              <w:rPr>
                <w:lang w:val="en-US"/>
              </w:rPr>
              <w:t>)*</w:t>
            </w:r>
          </w:p>
        </w:tc>
        <w:tc>
          <w:tcPr>
            <w:tcW w:w="1134" w:type="dxa"/>
            <w:tcBorders>
              <w:bottom w:val="single" w:color="auto" w:sz="4" w:space="0"/>
            </w:tcBorders>
            <w:shd w:val="clear" w:color="auto" w:fill="auto"/>
          </w:tcPr>
          <w:p w:rsidR="00B924CB" w:rsidP="001D424F" w:rsidRDefault="00F50E97" w14:paraId="4500D6E6" w14:textId="77777777">
            <w:pPr>
              <w:pStyle w:val="aff2"/>
              <w:jc w:val="right"/>
              <w:rPr>
                <w:lang w:val="en-US"/>
              </w:rPr>
            </w:pPr>
            <w:r w:rsidR="00B924CB">
              <w:rPr>
                <w:lang w:val="en-US"/>
              </w:rPr>
              <w:t>(</w:t>
            </w:r>
            <w:r w:rsidR="00B924CB">
              <w:t>не указано</w:t>
            </w:r>
            <w:r w:rsidR="00B924CB">
              <w:rPr>
                <w:lang w:val="en-US"/>
              </w:rPr>
              <w:t>)*</w:t>
            </w:r>
          </w:p>
        </w:tc>
        <w:tc>
          <w:tcPr>
            <w:tcW w:w="1275" w:type="dxa"/>
            <w:tcBorders>
              <w:bottom w:val="single" w:color="auto" w:sz="4" w:space="0"/>
            </w:tcBorders>
          </w:tcPr>
          <w:p w:rsidR="00B924CB" w:rsidP="001D424F" w:rsidRDefault="00F50E97" w14:paraId="4C41043B" w14:textId="77777777">
            <w:pPr>
              <w:pStyle w:val="aff2"/>
              <w:jc w:val="right"/>
            </w:pPr>
            <w:r w:rsidR="00B924CB">
              <w:t/>
            </w:r>
          </w:p>
        </w:tc>
        <w:tc>
          <w:tcPr>
            <w:tcW w:w="1134" w:type="dxa"/>
            <w:tcBorders>
              <w:bottom w:val="single" w:color="auto" w:sz="4" w:space="0"/>
            </w:tcBorders>
          </w:tcPr>
          <w:p w:rsidR="00B924CB" w:rsidP="001D424F" w:rsidRDefault="00F50E97" w14:paraId="754C1AA1" w14:textId="77777777">
            <w:pPr>
              <w:pStyle w:val="aff2"/>
              <w:jc w:val="right"/>
            </w:pPr>
            <w:r w:rsidR="00B924CB">
              <w:t/>
            </w:r>
          </w:p>
        </w:tc>
      </w:tr>
    </w:tbl>
    <w:p w:rsidR="00811C6B" w:rsidP="001D424F" w:rsidRDefault="00F50E97" w14:paraId="40043AD2" w14:textId="77777777">
      <w:pPr>
        <w:pStyle w:val="aff2"/>
        <w:rPr>
          <w:sz w:val="2"/>
          <w:szCs w:val="2"/>
          <w:lang w:val="en-US"/>
        </w:rPr>
      </w:pPr>
    </w:p>
    <w:p w:rsidR="00811C6B" w:rsidP="001D424F" w:rsidRDefault="00811C6B" w14:paraId="7F6722D9" w14:textId="77777777">
      <w:pPr>
        <w:pStyle w:val="aff2"/>
        <w:rPr>
          <w:sz w:val="2"/>
          <w:szCs w:val="2"/>
          <w:lang w:val="en-US"/>
        </w:rPr>
      </w:pPr>
    </w:p>
    <w:tbl>
      <w:tblPr>
        <w:tblpPr w:leftFromText="180" w:rightFromText="180" w:vertAnchor="text" w:horzAnchor="page" w:tblpX="1210" w:tblpY="22"/>
        <w:tblW w:w="14992" w:type="dxa"/>
        <w:tblLayout w:type="fixed"/>
        <w:tblLook w:firstRow="1" w:lastRow="0" w:firstColumn="1" w:lastColumn="0" w:noHBand="0" w:noVBand="1" w:val="04A0"/>
      </w:tblPr>
      <w:tblGrid>
        <w:gridCol w:w="9180"/>
        <w:gridCol w:w="993"/>
        <w:gridCol w:w="850"/>
        <w:gridCol w:w="1418"/>
        <w:gridCol w:w="2551"/>
      </w:tblGrid>
      <w:tr>
        <w:trPr>
          <w:cantSplit/>
        </w:trPr>
        <w:tc>
          <w:tcPr>
            <w:tcW w:w="9180" w:type="dxa"/>
            <w:shd w:val="clear" w:color="auto" w:fill="auto"/>
          </w:tcPr>
          <w:p w:rsidR="00811C6B" w:rsidP="00174CB9" w:rsidRDefault="00811C6B" w14:paraId="32B0DF69" w14:textId="77777777">
            <w:pPr>
              <w:pStyle w:val="aff2"/>
              <w:jc w:val="right"/>
              <w:rPr>
                <w:b/>
                <w:lang w:val="en-US"/>
              </w:rPr>
            </w:pPr>
            <w:r>
              <w:rPr>
                <w:b/>
              </w:rPr>
              <w:t>Итого</w:t>
            </w:r>
            <w:r>
              <w:rPr>
                <w:b/>
                <w:lang w:val="en-US"/>
              </w:rPr>
              <w:t>:</w:t>
            </w:r>
          </w:p>
        </w:tc>
        <w:tc>
          <w:tcPr>
            <w:tcW w:w="993" w:type="dxa"/>
          </w:tcPr>
          <w:p w:rsidR="00811C6B" w:rsidP="00174CB9" w:rsidRDefault="00F50E97" w14:paraId="46778D4B" w14:textId="77777777">
            <w:pPr>
              <w:pStyle w:val="aff2"/>
              <w:jc w:val="right"/>
              <w:rPr>
                <w:lang w:val="en-US"/>
              </w:rPr>
            </w:pPr>
            <w:r w:rsidR="00811C6B">
              <w:rPr>
                <w:b/>
                <w:lang w:val="en-US"/>
              </w:rPr>
              <w:t>(</w:t>
            </w:r>
            <w:r w:rsidR="00811C6B">
              <w:rPr>
                <w:b/>
              </w:rPr>
              <w:t>не указано</w:t>
            </w:r>
            <w:r w:rsidR="00811C6B">
              <w:rPr>
                <w:b/>
                <w:lang w:val="en-US"/>
              </w:rPr>
              <w:t>)*</w:t>
            </w:r>
          </w:p>
        </w:tc>
        <w:tc>
          <w:tcPr>
            <w:tcW w:w="850" w:type="dxa"/>
          </w:tcPr>
          <w:p w:rsidR="00811C6B" w:rsidP="00174CB9" w:rsidRDefault="00F50E97" w14:paraId="73746164" w14:textId="77777777">
            <w:pPr>
              <w:pStyle w:val="aff2"/>
              <w:jc w:val="right"/>
              <w:rPr>
                <w:lang w:val="en-US"/>
              </w:rPr>
            </w:pPr>
            <w:r w:rsidR="00811C6B">
              <w:rPr>
                <w:b/>
                <w:lang w:val="en-US"/>
              </w:rPr>
              <w:t>(</w:t>
            </w:r>
            <w:r w:rsidR="00811C6B">
              <w:rPr>
                <w:b/>
              </w:rPr>
              <w:t>не указано</w:t>
            </w:r>
            <w:r w:rsidR="00811C6B">
              <w:rPr>
                <w:b/>
                <w:lang w:val="en-US"/>
              </w:rPr>
              <w:t>)*</w:t>
            </w:r>
          </w:p>
        </w:tc>
        <w:tc>
          <w:tcPr>
            <w:tcW w:w="1418" w:type="dxa"/>
            <w:shd w:val="clear" w:color="auto" w:fill="auto"/>
          </w:tcPr>
          <w:p w:rsidR="00811C6B" w:rsidP="00174CB9" w:rsidRDefault="00F50E97" w14:paraId="52C92FCA" w14:textId="77777777">
            <w:pPr>
              <w:pStyle w:val="aff2"/>
              <w:jc w:val="right"/>
            </w:pPr>
            <w:r w:rsidR="00811C6B">
              <w:rPr>
                <w:b/>
                <w:lang w:val="en-US"/>
              </w:rPr>
              <w:t>(</w:t>
            </w:r>
            <w:r w:rsidR="00811C6B">
              <w:rPr>
                <w:b/>
              </w:rPr>
              <w:t>не указано</w:t>
            </w:r>
            <w:r w:rsidR="00811C6B">
              <w:rPr>
                <w:b/>
                <w:lang w:val="en-US"/>
              </w:rPr>
              <w:t>)*</w:t>
            </w:r>
          </w:p>
        </w:tc>
        <w:tc>
          <w:tcPr>
            <w:tcW w:w="2551" w:type="dxa"/>
          </w:tcPr>
          <w:p w:rsidR="00811C6B" w:rsidP="00174CB9" w:rsidRDefault="00811C6B" w14:paraId="0B3B38F8" w14:textId="77777777">
            <w:pPr>
              <w:pStyle w:val="aff2"/>
              <w:jc w:val="right"/>
            </w:pPr>
          </w:p>
        </w:tc>
      </w:tr>
    </w:tbl>
    <w:p w:rsidRPr="004B3C6D" w:rsidR="004B3C6D" w:rsidP="00304EDC" w:rsidRDefault="00F50E97" w14:paraId="6EE08E8B" w14:textId="37C96DD9">
      <w:pPr>
        <w:pStyle w:val="aff2"/>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МБУ «КОСБ ГОШ»</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В. Н. Окорков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Поставка товара</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каждый мес. (от окончания)</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Бензин автомобильный АИ-92 экологического класса не ниже К5 (оптовая реализация)</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31.01.2022 (МСК)</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30 раб. дн. от даты подписания документа-предшественника </w:t>
            </w:r>
            <w:r w:rsidR="00C40026">
              <w:rPr>
                <w:lang w:val="en-US"/>
              </w:rPr>
              <w:t xml:space="preserve"> </w:t>
            </w:r>
            <w:r w:rsidR="00C40026">
              <w:rPr>
                <w:lang w:val="en-US"/>
              </w:rPr>
              <w:t> «Акт о приёмке товаров» (Поставка товара)</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50E97"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МБУ «КОСБ ГОШ»</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В. Н. Окорков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товара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Счёт-фактура (СЧФ),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Акт о приёмке товаров</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Поставка товара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Акт о приёмке товаров</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7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Поставка товара</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50E97" w14:paraId="4EF5E733" w14:textId="77777777">
            <w:pPr>
              <w:pStyle w:val="aff2"/>
            </w:pPr>
            <w:r w:rsidR="00C40026">
              <w:t>Поставка товара</w:t>
            </w:r>
          </w:p>
        </w:tc>
        <w:tc>
          <w:tcPr>
            <w:tcW w:w="2615" w:type="pct"/>
            <w:tcBorders>
              <w:top w:val="single" w:color="auto" w:sz="4" w:space="0"/>
              <w:left w:val="single" w:color="auto" w:sz="4" w:space="0"/>
              <w:bottom w:val="single" w:color="auto" w:sz="4" w:space="0"/>
              <w:right w:val="single" w:color="auto" w:sz="4" w:space="0"/>
            </w:tcBorders>
          </w:tcPr>
          <w:p w:rsidR="00B94160" w:rsidRDefault="00F50E97"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50E97"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МБУ «КОСБ ГОШ»</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В. Н. Окорков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МБУ «КОСБ ГОШ»</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В. Н. Окорков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114316-21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