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116556-22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1)</w:t>
      </w:r>
    </w:p>
    <w:p w:rsidR="007C3BF1" w:rsidRDefault="0068700B">
      <w:pPr>
        <w:ind w:left="1418"/>
      </w:pPr>
      <w:r w:rsidR="008C2287">
        <w:t xml:space="preserve">Цена </w:t>
      </w:r>
      <w:r w:rsidR="008C2287">
        <w:t>договора</w:t>
      </w:r>
      <w:r w:rsidR="008C2287">
        <w:t>, руб.:</w:t>
      </w:r>
      <w:r w:rsidR="001406FC">
        <w:t xml:space="preserve"> </w:t>
      </w:r>
      <w:r w:rsidR="008C2287">
        <w:t>1 716 105,16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01.21.02.08.01.02.01.05.01.01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Бендамустин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01.21.02.08.01.06.06.11.01.01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Бортезомиб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01.21.02.09.05.01.03.04.01.01</w:t>
            </w:r>
            <w:r w:rsidRPr="00C15977" w:rsidR="00872EF1">
              <w:rPr>
                <w:b/>
                <w:lang w:val="en-US"/>
              </w:rPr>
              <w:t xml:space="preserve"> / </w:t>
            </w:r>
            <w:r w:rsidRPr="00C15977" w:rsidR="00872EF1">
              <w:rPr>
                <w:lang w:val="en-US"/>
              </w:rPr>
              <w:t>21.20.10.227</w:t>
            </w:r>
          </w:p>
        </w:tc>
        <w:tc>
          <w:tcPr>
            <w:tcW w:w="3003" w:type="dxa"/>
            <w:shd w:val="clear" w:color="auto" w:fill="auto"/>
          </w:tcPr>
          <w:p w:rsidR="007C3BF1" w:rsidRDefault="0068700B">
            <w:pPr>
              <w:pStyle w:val="a8"/>
            </w:pPr>
            <w:r w:rsidR="008C2287">
              <w:t>Деносумаб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01.21.02.08.01.06.06.08.01.01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Иринотекан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01.21.02.14.02.01.04.02.01.01</w:t>
            </w:r>
            <w:r w:rsidRPr="00C15977" w:rsidR="00872EF1">
              <w:rPr>
                <w:b/>
                <w:lang w:val="en-US"/>
              </w:rPr>
              <w:t xml:space="preserve"> / </w:t>
            </w:r>
            <w:r w:rsidRPr="00C15977" w:rsidR="00872EF1">
              <w:rPr>
                <w:lang w:val="en-US"/>
              </w:rPr>
              <w:t>21.20.23.190</w:t>
            </w:r>
          </w:p>
        </w:tc>
        <w:tc>
          <w:tcPr>
            <w:tcW w:w="3003" w:type="dxa"/>
            <w:shd w:val="clear" w:color="auto" w:fill="auto"/>
          </w:tcPr>
          <w:p w:rsidR="007C3BF1" w:rsidRDefault="0068700B">
            <w:pPr>
              <w:pStyle w:val="a8"/>
            </w:pPr>
            <w:r w:rsidR="008C2287">
              <w:t>КАЛЬЦИЯ ФОЛИНАТ</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01.21.02.08.01.06.01.02.01.01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Карбоплатин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01.21.02.08.01.03.03.03.01.01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Фторурацил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01.21.02.08.01.02.01.01.01.01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Циклофосфамид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Бендамустин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Бортезомиб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Деносумаб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Иринотекан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КАЛЬЦИЯ ФОЛИНАТ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Карбоплатин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Фторурацил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Циклофосфамид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1))</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