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128539-21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лабораторной посуды и принадлежностей</w:t>
      </w:r>
    </w:p>
    <w:p w:rsidR="007C3BF1" w:rsidRDefault="008C2287">
      <w:pPr>
        <w:ind w:left="1418"/>
      </w:pPr>
      <w:r>
        <w:t xml:space="preserve">Цена </w:t>
      </w:r>
      <w:r>
        <w:t>договора</w:t>
      </w:r>
      <w:r>
        <w:t xml:space="preserve">, руб.: </w:t>
      </w:r>
      <w:r>
        <w:t>1 097 915,40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16 000,00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8 000,00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6 000,00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01.14.05.76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Воронка лабораторная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лабораторной посуды и принадлежностей</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1 500,00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3 000,00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3 000,00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6 000,00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8 000,00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Воронка лабораторная</w:t>
            </w:r>
            <w:r w:rsidRPr="000B5400" w:rsidR="008C2287">
              <w:t xml:space="preserve">, </w:t>
            </w:r>
            <w:r w:rsidR="005A4720">
              <w:t>количество</w:t>
            </w:r>
            <w:r w:rsidRPr="000B5400" w:rsidR="005A4720">
              <w:t>:</w:t>
            </w:r>
            <w:r w:rsidRPr="000B5400" w:rsidR="008C2287">
              <w:t xml:space="preserve"> </w:t>
            </w:r>
            <w:r w:rsidRPr="000B5400" w:rsidR="008C2287">
              <w:t>16 000,00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лабораторной посуды и принадлежностей</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лабораторной посуды и принадлежностей)</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лабораторной посуды и принадлежностей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лабораторной посуды и принадлежностей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лабораторной посуды и принадлежностей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лабораторной посуды и принадлежностей</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лабораторной посуды и принадлежностей</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лабораторной посуды и принадлежностей</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лабораторной посуды и принадлежностей</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лабораторной посуды и принадлежностей</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лабораторной посуды и принадлежностей</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