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069037-22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проведению гистологических, гистохимических, цитологических, молекулярных 
исследований биологического материала</w:t>
      </w:r>
    </w:p>
    <w:p w:rsidR="007C3BF1" w:rsidRDefault="006C06F8">
      <w:pPr>
        <w:ind w:left="1418"/>
      </w:pPr>
      <w:r w:rsidR="008C2287">
        <w:t xml:space="preserve">Цена </w:t>
      </w:r>
      <w:r w:rsidR="008C2287">
        <w:t>договора</w:t>
      </w:r>
      <w:r w:rsidR="008C2287">
        <w:t>, руб.:</w:t>
      </w:r>
      <w:r w:rsidR="001406FC">
        <w:t xml:space="preserve"> </w:t>
      </w:r>
      <w:r w:rsidR="008C2287">
        <w:t>1 300 000,00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02.11.05.01</w:t>
            </w:r>
            <w:r w:rsidR="008C2287">
              <w:rPr>
                <w:b/>
              </w:rPr>
              <w:t xml:space="preserve"> / </w:t>
            </w:r>
            <w:r w:rsidR="008C2287">
              <w:t>86.90.15.000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959" w:type="pct"/>
          </w:tcPr>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85.14.16.110,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Исполнитель</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оказанных услуг по проведению гистологических, гистохимических, цитологических, молекулярных исследований биологического материала</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(Оказание услуг по проведению гистологических, гистохимических, цитологических, молекулярных исследований биологического материала)</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оказанных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Исполнитель</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оказанных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оказанных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