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034195-23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изделий медицинского назначения (Инструменты зондирующие, бужирующие)</w:t>
      </w:r>
    </w:p>
    <w:p w:rsidR="007C3BF1" w:rsidRDefault="0068700B">
      <w:pPr>
        <w:ind w:left="1418"/>
      </w:pPr>
      <w:r w:rsidR="008C2287">
        <w:t xml:space="preserve">Цена </w:t>
      </w:r>
      <w:r w:rsidR="008C2287">
        <w:t>договора</w:t>
      </w:r>
      <w:r w:rsidR="008C2287">
        <w:t>, руб.:</w:t>
      </w:r>
      <w:r w:rsidR="001406FC">
        <w:t xml:space="preserve"> </w:t>
      </w:r>
      <w:r w:rsidR="008C2287">
        <w:t>1 993 844,80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3 200,00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3 600,00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внутривенная периферическая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1 100,00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01.21.01.01.12.06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Канюля назальная для подачи кислорода при искусственной вентиляции легких с постоянным положительным давлением</w:t>
            </w:r>
          </w:p>
        </w:tc>
        <w:tc>
          <w:tcPr>
            <w:tcW w:w="2430" w:type="dxa"/>
          </w:tcPr>
          <w:p w:rsidR="007C3BF1" w:rsidRDefault="008C2287">
            <w:pPr>
              <w:pStyle w:val="a8"/>
            </w:pPr>
            <w:r>
              <w:t>(не указано)*</w:t>
            </w:r>
          </w:p>
        </w:tc>
        <w:tc>
          <w:tcPr>
            <w:tcW w:w="1654" w:type="dxa"/>
          </w:tcPr>
          <w:p w:rsidR="007C3BF1" w:rsidRDefault="0068700B">
            <w:pPr>
              <w:pStyle w:val="a8"/>
            </w:pPr>
            <w:r w:rsidR="008C2287">
              <w:t>450,00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аспирационной системы,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610,00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270,00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220,00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01.21.10.1037</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баллонный постоянный для дренажа, антибактериальный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290,00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уретральный временный для дренажа, не антибактериальный,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длительного 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длительного 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длительного 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длительного 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01.21.10.7779</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Катетер уретральный длительного 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01.21.10.5511</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Система аспирационная хирургическая общего назначения, пневматическая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01.21.10.7552</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Троакар торакальный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01.21.10.7552</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Троакар торакальный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01.21.10.7552</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Троакар торакальный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01.21.10.7552</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Троакар торакальный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01.21.10.7552</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Троакар торакальный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01.21.10.7665</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трахеостомическая, армированная, изготовленная индивидуально,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01.21.10.7665</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трахеостомическая, армированная, изготовленная индивидуально,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01.21.10.7649</w:t>
            </w:r>
            <w:r w:rsidRPr="00C15977" w:rsidR="00872EF1">
              <w:rPr>
                <w:b/>
                <w:lang w:val="en-US"/>
              </w:rPr>
              <w:t xml:space="preserve"> / </w:t>
            </w:r>
            <w:r w:rsidRPr="00C15977" w:rsidR="00872EF1">
              <w:rPr>
                <w:lang w:val="en-US"/>
              </w:rPr>
              <w:t>32.50.21.129</w:t>
            </w:r>
          </w:p>
        </w:tc>
        <w:tc>
          <w:tcPr>
            <w:tcW w:w="3003" w:type="dxa"/>
            <w:shd w:val="clear" w:color="auto" w:fill="auto"/>
          </w:tcPr>
          <w:p w:rsidR="007C3BF1" w:rsidRDefault="0068700B">
            <w:pPr>
              <w:pStyle w:val="a8"/>
            </w:pPr>
            <w:r w:rsidR="008C2287">
              <w:t>Трубка эндотрахеальная антибактериальная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внутривенная периферическая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Канюля назальная для подачи кислорода при искусственной вентиляции легких с постоянным положительным давлением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аспирационной системы,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баллонный постоянный для дренажа, антибактериальный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290,00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временный для дренажа, не антибактериальный,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длительного 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длительного 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длительного 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длительного 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уретральный длительного 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аспирационная хирургическая общего назначения, пневматическая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торакальный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торакальный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торакальный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торакальный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Троакар торакальный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трахеостомическая, армированная, изготовленная индивидуально,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трахеостомическая, армированная, изготовленная индивидуально,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эндотрахеальная антибактериальная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зондирующие, бужирующие)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(Инструменты зондирующие, бужирующие))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(Инструменты зондирующие, бужирующие)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зондирующие, бужирующие)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(Инструменты зондирующие, бужирующие)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(Инструменты зондирующие, бужирующие)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