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01.13.05.01.01.02.01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Говядина замороженная первого сорта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1 791,1300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01.13.05.02.01.01.01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10.12.10.110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Мясо кур 1 сорта охлажденное - тушка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913,1808</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01.13.05.01.01.03.02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10.11.20.110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Печень говяжья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251,6640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(мясная продукция)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Говядина замороженная первого сорта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1 791,1300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кур 1 сорта охлажденное - тушка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913,1808</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 говяжья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251,6640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(мясная продукция)</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(мясная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(мясная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(мясная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(мясная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(мясная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099664-20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