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111897-22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мочевой станции</w:t>
      </w:r>
    </w:p>
    <w:p w:rsidR="007C3BF1" w:rsidRDefault="0068700B">
      <w:pPr>
        <w:ind w:left="1418"/>
      </w:pPr>
      <w:r w:rsidR="008C2287">
        <w:t xml:space="preserve">Цена </w:t>
      </w:r>
      <w:r w:rsidR="008C2287">
        <w:t>договора</w:t>
      </w:r>
      <w:r w:rsidR="008C2287">
        <w:t>, руб.:</w:t>
      </w:r>
      <w:r w:rsidR="001406FC">
        <w:t xml:space="preserve"> </w:t>
      </w:r>
      <w:r w:rsidR="008C2287">
        <w:t>1 971 294,49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01.21.10.890</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Фиксатор, жидкость Гелли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мочевой станции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жидкость Гелли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мочевой станции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мочевой станции)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мочевой станции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мочевой станции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мочевой станции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мочевой станции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мочевой станции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мочевой станции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для мочевой станции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мочевой станции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мочевой станции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мочевой станции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