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Т.А. Булгадаров</w:t>
        <w:br/>
        <w:t>Директор</w:t>
        <w:br/>
        <w:t>МАУ "Объединенная дирекция парков"</w:t>
        <w:br/>
        <w:t>«09» октября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Вилы паллетные</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Вилы паллетные</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Московская область, г. Ногинск, ул. Леснова, д. 2;</w:t>
              <w:br/>
              <w:t>Сроки поставки товара: ;</w:t>
              <w:br/>
              <w:t>Условия поставки товара: </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55 200 (пятьдесят пять тысяч двести) рублей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За счет средств, полученных при осуществлении иной приносящей доход деятельности от физических лиц, юридических лиц</w:t>
              <w:br/>
              <w:t/>
              <w:br/>
              <w:t>КБК: 909-0000-0000000000-244, 55 200 рублей 00 копеек</w:t>
              <w:br/>
              <w:t/>
              <w:br/>
              <w:t>ОКПД2: 28.22.20.000 Ковши, черпаки, грейферы и захваты для подъемных кранов, экскаваторов и аналогичного оборудования;</w:t>
              <w:br/>
              <w:t/>
              <w:br/>
              <w:t>ОКВЭД2: 28.22.9 Производство прочего грузоподъемного, транспортирующего и погрузочно-разгрузочного оборудования;</w:t>
              <w:br/>
              <w:t/>
              <w:br/>
              <w:t>Код КОЗ: 01.04.01.03.07.06.03 Ковш к фронтальному  погрузчику;</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«14» октября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«20» октября 2020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«14» октября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«21» октября 2020 в 10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«21» октября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«21» октября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