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076005-22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p w:rsidR="007C3BF1" w:rsidRDefault="006C06F8">
      <w:pPr>
        <w:ind w:left="1418"/>
      </w:pPr>
      <w:r w:rsidR="008C2287">
        <w:t xml:space="preserve">Цена </w:t>
      </w:r>
      <w:r w:rsidR="008C2287">
        <w:t>договора</w:t>
      </w:r>
      <w:r w:rsidR="008C2287">
        <w:t>, руб.:</w:t>
      </w:r>
      <w:r w:rsidR="001406FC">
        <w:t xml:space="preserve"> </w:t>
      </w:r>
      <w:r w:rsidR="008C2287">
        <w:t>325 000,00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02.02.19.748</w:t>
            </w:r>
            <w:r w:rsidR="008C2287">
              <w:rPr>
                <w:b/>
              </w:rPr>
              <w:t xml:space="preserve"> / </w:t>
            </w:r>
            <w:r w:rsidR="008C2287">
              <w:t>95.11.10.130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Исполнитель</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оказанных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оказанных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Исполнитель</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