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BA61E6"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BA61E6" w14:paraId="429679AB" w14:textId="77777777">
            <w:pPr>
              <w:pStyle w:val="aff2"/>
            </w:pPr>
            <w:r w:rsidR="005E1E29">
              <w:t>03.02.08.06</w:t>
            </w:r>
            <w:r w:rsidR="005E1E29">
              <w:rPr>
                <w:b/>
              </w:rPr>
              <w:t xml:space="preserve"> / </w:t>
            </w:r>
            <w:r w:rsidR="005E1E29">
              <w:t>43.39.19.190</w:t>
            </w:r>
          </w:p>
          <w:p w:rsidR="005E1E29" w:rsidP="009643D6" w:rsidRDefault="00BA61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BA61E6" w14:paraId="543149D3" w14:textId="77777777">
            <w:pPr>
              <w:pStyle w:val="aff2"/>
            </w:pPr>
            <w:r w:rsidR="005E1E29">
              <w:t>Выполнение работ по ремонту запасного выхода социально-реабилитационного отделения и ремонт входных групп в столовую</w:t>
            </w:r>
          </w:p>
        </w:tc>
        <w:tc>
          <w:tcPr>
            <w:tcW w:w="3828" w:type="dxa"/>
            <w:tcBorders>
              <w:bottom w:val="single" w:color="auto" w:sz="4" w:space="0"/>
            </w:tcBorders>
            <w:shd w:val="clear" w:color="auto" w:fill="auto"/>
          </w:tcPr>
          <w:p w:rsidR="005E1E29" w:rsidP="009643D6" w:rsidRDefault="00BA61E6" w14:paraId="01E9FC12" w14:textId="77777777">
            <w:pPr>
              <w:pStyle w:val="aff2"/>
              <w:jc w:val="right"/>
            </w:pPr>
            <w:r w:rsidR="005E1E29">
              <w:rPr>
                <w:lang w:val="en-US"/>
              </w:rPr>
              <w:t>(</w:t>
            </w:r>
            <w:r w:rsidR="005E1E29">
              <w:t>не указано</w:t>
            </w:r>
            <w:r w:rsidR="005E1E29">
              <w:rPr>
                <w:lang w:val="en-US"/>
              </w:rPr>
              <w:t>)*</w:t>
            </w:r>
          </w:p>
        </w:tc>
      </w:tr>
    </w:tbl>
    <w:p w:rsidRPr="00304EDC" w:rsidR="00CD27C7" w:rsidP="005E1E29" w:rsidRDefault="00BA61E6"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Выполнение работ по ремонту запасного выхода социально-реабилитационного отделения и ремонт входных групп в столовую</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Выполнение работ по ремонту запасного выхода социально-реабилитационного отделения и ремонт входных групп в столовую</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25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за выполнение работ по ремонту запасного выхода социально-реабилитационного отделения и ремонт входных групп в столовую</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 по ремонту запасного выхода социально-реабилитационного отделения и ремонт входных групп в столовую)</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выполнения работ</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Московская область, Орехово-Зуевский г.о., с. Ильинский Погост, ул. Егорьевская, д.5.</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Выполнение работ по ремонту запасного выхода социально-реабилитационного отделения и ремонт входных групп в столовую</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за выполнение работ по ремонту запасного выхода социально-реабилитационного отделения и ремонт входных групп в столовую</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Выполнение работ по ремонту запасного выхода социально-реабилитационного отделения и ремонт входных групп в столовую</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Выполнение работ по ремонту запасного выхода социально-реабилитационного отделения и ремонт входных групп в столовую</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070923-21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