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Гаврилов Анатолий Анатольевич</w:t>
        <w:br/>
        <w:t>Директор</w:t>
        <w:br/>
        <w:t>МУНИЦИПАЛЬНОЕ УНИТАРНОЕ ПРЕДПРИЯТИЕ"ВОДОКАНАЛ"ГОРОДСКОГО ОКРУГА КАШИРА</w:t>
        <w:br/>
        <w:t>«17» апреля 2024г.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ПРЕДПРИЯТИЕ"ВОДОКАНАЛ"ГОРОДСКОГО ОКРУГА КАШИРА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142900, Московская область, гКашира, ул.Советская, д.28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142900, Московская область, г.Кашира, ул. Ленина, д.2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elena_zhilresurs@mail.ru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 Алексеевна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агрегатов ЭЦВ для нужд МУП "Водоканал" г.о. Кашира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Московская область городской округ Кашира ул. Советская дом 28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940 913 (девятьсот сорок тысяч девятьсот тринадцать) рублей 30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«19» апреля 2024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«15» мая 2024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«19» апреля 2024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«15» мая 2024 в 14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«19» апреля 2024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«13» мая 2024 в 14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«15» мая 2024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«15» мая 2024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«16» мая 2024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  <w:bookmarkStart w:id="77" w:name="_GoBack"/>
            <w:bookmarkEnd w:id="77"/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«16» мая 2024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«16» мая 2024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«16» мая 2024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6403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23</cp:revision>
  <cp:lastPrinted>2020-02-28T12:36:00Z</cp:lastPrinted>
  <dcterms:created xsi:type="dcterms:W3CDTF">2021-10-12T07:09:00Z</dcterms:created>
  <dcterms:modified xsi:type="dcterms:W3CDTF">2021-11-25T11:15:00Z</dcterms:modified>
</cp:coreProperties>
</file>