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Общая креатинкиназа ИВД, набор, ферментный спектрофотометрический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для биохимического анализатора Taurus</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Общая креатинкиназа ИВД, набор, ферментный спектрофотометрический анализ</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реагентов для биохимического анализатора Taurus</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биохимического анализатора Taurus)</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реагентов для биохимического анализатора Taurus</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для биохимического анализатора Taurus</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для биохимического анализатора Taurus</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для биохимического анализатора Taurus</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для биохимического анализатора Taurus</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121424-21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