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107363-22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(Наборы медицинские)</w:t>
      </w:r>
    </w:p>
    <w:p w:rsidR="007C3BF1" w:rsidRDefault="0068700B">
      <w:pPr>
        <w:ind w:left="1418"/>
      </w:pPr>
      <w:r w:rsidR="008C2287">
        <w:t xml:space="preserve">Цена </w:t>
      </w:r>
      <w:r w:rsidR="008C2287">
        <w:t>договора</w:t>
      </w:r>
      <w:r w:rsidR="008C2287">
        <w:t>, руб.:</w:t>
      </w:r>
      <w:r w:rsidR="001406FC">
        <w:t xml:space="preserve"> </w:t>
      </w:r>
      <w:r w:rsidR="008C2287">
        <w:t>1 295 232,65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07.04.2023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01.71.03.03.02.01.02.1474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дренирования плевральной полости при пневмотораксе</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01.21.10.572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Набор для катетеризации для дренирования плевральной/перитонеальной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250,00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01.71.03.03.01.01.02.3201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Набор для катетеризации центральных вен, кратковременного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01.71.03.03.01.01.02.3201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Набор для катетеризации центральных вен, кратковременного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01.71.03.03.01.01.02.3201</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Набор для катетеризации центральных вен, кратковременного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01.21.01.06.14.205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промывания мочевого пузыря</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01.71.03.03.02.01.02.1545</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эпидуральной/интратекальной анестезии</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(Наборы медицинские)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дренирования плевральной полости при пневмотораксе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катетеризации для дренирования плевральной/перитонеальной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катетеризации центральных вен, кратковременного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катетеризации центральных вен, кратковременного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катетеризации центральных вен, кратковременного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промывания мочевого пузыря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эпидуральной/интратекальной анестезии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(Наборы медицинские)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(Наборы медицинские))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(Наборы медицинские)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(Наборы медицинские)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(Наборы медицинские)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(Наборы медицинские)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(Наборы медицинские)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(Наборы медицинские)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(Наборы медицинские)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(Наборы медицинские)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(Наборы медицинские)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(Наборы медицинские)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