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01.21.01.15.12.106</w:t>
            </w:r>
            <w:r w:rsidR="00B924CB">
              <w:rPr>
                <w:b/>
              </w:rPr>
              <w:t xml:space="preserve"> / </w:t>
            </w:r>
            <w:r w:rsidR="00B924CB">
              <w:t>32.50.11.190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Набор стоматологических композитных адгезивных материалов</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3 125,000000000000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оплата стоматологических материалов 2</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Набор стоматологических композитных адгезивных материалов</w:t>
            </w:r>
            <w:r w:rsidR="00473384">
              <w:rPr>
                <w:lang w:val="en-US"/>
              </w:rPr>
              <w:t xml:space="preserve">; </w:t>
            </w:r>
            <w:r w:rsidR="00473384">
              <w:rPr>
                <w:lang w:val="en-US"/>
              </w:rPr>
              <w:t>3 125,000000000000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стоматологических материалов 2</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(оплата стоматологических материалов 2)</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автономное учреждение здравоохранения Московской  области «Орехово-Зуевская районная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142671, Московская область, г.Ликино-Дулево, ул. 1 мая д. 23</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стоматологических материалов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стоматологических материалов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оплата стоматологических материалов 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оплата стоматологических материалов 2</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087271-21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