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116482-22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(Паклитаксел)</w:t>
      </w:r>
    </w:p>
    <w:p w:rsidR="007C3BF1" w:rsidRDefault="0068700B">
      <w:pPr>
        <w:ind w:left="1418"/>
      </w:pPr>
      <w:r w:rsidR="008C2287">
        <w:t xml:space="preserve">Цена </w:t>
      </w:r>
      <w:r w:rsidR="008C2287">
        <w:t>договора</w:t>
      </w:r>
      <w:r w:rsidR="008C2287">
        <w:t>, руб.:</w:t>
      </w:r>
      <w:r w:rsidR="001406FC">
        <w:t xml:space="preserve"> </w:t>
      </w:r>
      <w:r w:rsidR="008C2287">
        <w:t>1 356 204,00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01.21.02.08.01.04.03.01.01.01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Паклитаксел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(Паклитаксел)</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Паклитаксел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(Паклитаксел)</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(Паклитаксел))</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(Паклитаксел)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(Паклитаксел)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(Паклитаксел)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(Паклитаксел)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(Паклитаксел)</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(Паклитаксел)</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(Паклитаксел)</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(Паклитаксел)</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(Паклитаксел)</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(Паклитаксел)</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