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sz w:val="28"/>
          <w:szCs w:val="28"/>
        </w:rPr>
      </w:pPr>
      <w:bookmarkStart w:id="0" w:name="Par688"/>
      <w:bookmarkEnd w:id="0"/>
      <w:bookmarkStart w:id="8" w:name="_GoBack"/>
      <w:bookmarkEnd w:id="8"/>
      <w:r>
        <w:rPr>
          <w:sz w:val="28"/>
          <w:szCs w:val="28"/>
        </w:rPr>
        <w:t>Сведения об условиях договора и графике исполнения его обязательств</w:t>
      </w:r>
    </w:p>
    <w:p>
      <w:pPr>
        <w:pStyle w:val="2"/>
      </w:pPr>
      <w:r>
        <w:t>Предмет и стороны</w:t>
      </w:r>
      <w:bookmarkStart w:id="1" w:name="Par690"/>
      <w:bookmarkEnd w:id="1"/>
      <w:r>
        <w:t xml:space="preserve"> договора</w:t>
      </w:r>
    </w:p>
    <w:p>
      <w:pPr>
        <w:pStyle w:val="3"/>
      </w:pPr>
      <w:r>
        <w:t>Сведения о договоре</w:t>
      </w:r>
    </w:p>
    <w:p>
      <w:pPr>
        <w:tabs>
          <w:tab w:val="left" w:pos="10770"/>
        </w:tabs>
        <w:ind w:left="1418"/>
      </w:pPr>
      <w:r>
        <w:t>Реестровый номер позиции ПЗ (ЕАСУЗ): 060089-24</w:t>
      </w:r>
    </w:p>
    <w:p>
      <w:pPr>
        <w:ind w:left="1418"/>
      </w:pPr>
      <w:r>
        <w:rPr>
          <w:szCs w:val="28"/>
        </w:rPr>
        <w:t>Год планирования</w:t>
      </w:r>
      <w:r>
        <w:t>: 2024</w:t>
      </w:r>
    </w:p>
    <w:p>
      <w:pPr>
        <w:ind w:left="1418"/>
      </w:pPr>
      <w:r>
        <w:t>Предмет договора: Проведение обязательного аудита бухгалтерской (финансовой) отчетности МУП "Водоканал" г.о. Кашира за 2023 год</w:t>
      </w:r>
    </w:p>
    <w:p>
      <w:pPr>
        <w:ind w:left="1418"/>
      </w:pPr>
      <w:r>
        <w:t>Цена договора, руб.: 165 000,00</w:t>
      </w:r>
    </w:p>
    <w:p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>
        <w:rPr>
          <w:lang w:val="en-GB"/>
        </w:rPr>
        <w:t>Нет</w:t>
      </w:r>
    </w:p>
    <w:p>
      <w:pPr>
        <w:ind w:left="1418"/>
      </w:pPr>
      <w:r>
        <w:t>Начало исполнения договора: 1 раб. дн. от даты заключения договора</w:t>
      </w:r>
    </w:p>
    <w:p>
      <w:pPr>
        <w:ind w:left="1418"/>
      </w:pPr>
      <w:r>
        <w:t>Конец исполнения договора: 30.08.2024 (МСК)</w:t>
      </w:r>
    </w:p>
    <w:p>
      <w:pPr>
        <w:pStyle w:val="3"/>
      </w:pPr>
      <w:r>
        <w:t>Сведения о заказчике</w:t>
      </w:r>
    </w:p>
    <w:p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МУНИЦИПАЛЬНОЕ УНИТАРНОЕ ПРЕДПРИЯТИЕ"ВОДОКАНАЛ"ГОРОДСКОГО ОКРУГА КАШИРА</w:t>
      </w:r>
    </w:p>
    <w:p>
      <w:pPr>
        <w:ind w:left="1418"/>
      </w:pPr>
      <w:r>
        <w:t>ИНН: 5019025953</w:t>
      </w:r>
    </w:p>
    <w:p>
      <w:pPr>
        <w:ind w:left="1418"/>
      </w:pPr>
      <w:r>
        <w:t xml:space="preserve">КПП: </w:t>
      </w:r>
      <w:r>
        <w:rPr>
          <w:lang w:val="en-US"/>
        </w:rPr>
        <w:t>501901001</w:t>
      </w:r>
    </w:p>
    <w:p>
      <w:pPr>
        <w:ind w:left="1418"/>
      </w:pPr>
      <w:r>
        <w:t>Почтовый адрес:</w:t>
      </w:r>
      <w:r>
        <w:rPr>
          <w:lang w:val="en-US"/>
        </w:rPr>
        <w:t xml:space="preserve"> 142900, Московская область, г. Кашира, ул. Советская, д. 28, помещение 140</w:t>
      </w:r>
    </w:p>
    <w:p>
      <w:pPr>
        <w:ind w:left="1418"/>
      </w:pPr>
      <w:r>
        <w:t>Местонахождение: 142900, Московская область, г. Кашира, ул. Советская, д. 28, помещение 140</w:t>
      </w:r>
    </w:p>
    <w:p>
      <w:pPr>
        <w:pStyle w:val="3"/>
      </w:pPr>
      <w:r>
        <w:t>Сведения об исполнителе</w:t>
      </w:r>
    </w:p>
    <w:p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>
      <w:pPr>
        <w:ind w:left="1418"/>
      </w:pPr>
      <w:r>
        <w:t>ИНН: ________________</w:t>
      </w:r>
    </w:p>
    <w:p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</w:p>
    <w:p>
      <w:pPr>
        <w:ind w:left="1418"/>
        <w:rPr>
          <w:lang w:val="en-US"/>
        </w:rPr>
      </w:pPr>
      <w:r>
        <w:t>Почтовый адрес</w:t>
      </w:r>
      <w:r>
        <w:rPr>
          <w:lang w:val="en-US"/>
        </w:rPr>
        <w:t>: ________________</w:t>
      </w:r>
    </w:p>
    <w:p>
      <w:pPr>
        <w:ind w:left="1418"/>
      </w:pPr>
      <w:r>
        <w:t>Местонахождение: ________________</w:t>
      </w:r>
    </w:p>
    <w:p>
      <w:pPr>
        <w:pStyle w:val="3"/>
      </w:pPr>
      <w:r>
        <w:t>Сведения о других участниках исполнения договора</w:t>
      </w:r>
    </w:p>
    <w:p>
      <w:pPr>
        <w:pStyle w:val="113"/>
      </w:pPr>
      <w:r>
        <w:rPr>
          <w:rFonts w:eastAsiaTheme="minorHAnsi"/>
          <w:lang w:eastAsia="en-US"/>
        </w:rPr>
        <w:t>Отсутствуют</w:t>
      </w:r>
    </w:p>
    <w:p>
      <w:pPr>
        <w:pStyle w:val="3"/>
      </w:pPr>
      <w:r>
        <w:t>Сведения об объектах закупки</w:t>
      </w:r>
    </w:p>
    <w:p/>
    <w:tbl>
      <w:tblPr>
        <w:tblStyle w:val="12"/>
        <w:tblpPr w:leftFromText="180" w:rightFromText="180" w:vertAnchor="text" w:horzAnchor="page" w:tblpX="1177" w:tblpY="2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223"/>
        <w:gridCol w:w="4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235" w:type="dxa"/>
            <w:shd w:val="clear" w:color="auto" w:fill="auto"/>
          </w:tcPr>
          <w:p>
            <w:pPr>
              <w:pStyle w:val="111"/>
              <w:keepNext/>
            </w:pPr>
            <w:r>
              <w:rPr>
                <w:rStyle w:val="110"/>
                <w:rFonts w:eastAsiaTheme="minorHAnsi"/>
              </w:rPr>
              <w:t>КОЗ 2 / КОЗ / ОКПД 2</w:t>
            </w:r>
          </w:p>
        </w:tc>
        <w:tc>
          <w:tcPr>
            <w:tcW w:w="8223" w:type="dxa"/>
            <w:shd w:val="clear" w:color="auto" w:fill="auto"/>
          </w:tcPr>
          <w:p>
            <w:pPr>
              <w:pStyle w:val="109"/>
              <w:keepNext/>
            </w:pPr>
            <w:r>
              <w:t>Наименование</w:t>
            </w:r>
          </w:p>
        </w:tc>
        <w:tc>
          <w:tcPr>
            <w:tcW w:w="4251" w:type="dxa"/>
            <w:shd w:val="clear" w:color="auto" w:fill="auto"/>
          </w:tcPr>
          <w:p>
            <w:pPr>
              <w:pStyle w:val="109"/>
              <w:keepNext/>
            </w:pPr>
            <w:r>
              <w:t>Общая стоимость,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shd w:val="clear" w:color="auto" w:fill="auto"/>
          </w:tcPr>
          <w:p>
            <w:pPr>
              <w:pStyle w:val="111"/>
              <w:rPr>
                <w:rFonts w:eastAsiaTheme="minorHAnsi"/>
                <w:lang w:val="en-US"/>
              </w:rPr>
            </w:pPr>
            <w:r>
              <w:rPr>
                <w:lang w:val="en-US"/>
              </w:rPr>
              <w:t>21.105.08.01.01.01.003 / 02.01.06.710</w:t>
            </w:r>
            <w:r>
              <w:rPr>
                <w:b/>
                <w:lang w:val="en-US"/>
              </w:rPr>
              <w:t xml:space="preserve"> / </w:t>
            </w:r>
            <w:r>
              <w:rPr>
                <w:lang w:val="en-US"/>
              </w:rPr>
              <w:t>69.20.10.000</w:t>
            </w:r>
          </w:p>
        </w:tc>
        <w:tc>
          <w:tcPr>
            <w:tcW w:w="8223" w:type="dxa"/>
            <w:shd w:val="clear" w:color="auto" w:fill="auto"/>
          </w:tcPr>
          <w:p>
            <w:pPr>
              <w:pStyle w:val="111"/>
            </w:pPr>
            <w:r>
              <w:t>Услуги по проведению финансового аудита</w:t>
            </w:r>
          </w:p>
        </w:tc>
        <w:tc>
          <w:tcPr>
            <w:tcW w:w="4251" w:type="dxa"/>
            <w:shd w:val="clear" w:color="auto" w:fill="auto"/>
          </w:tcPr>
          <w:p>
            <w:pPr>
              <w:pStyle w:val="111"/>
              <w:jc w:val="right"/>
            </w:pPr>
            <w:r>
              <w:t>(не указано)*</w:t>
            </w:r>
          </w:p>
        </w:tc>
      </w:tr>
    </w:tbl>
    <w:p>
      <w:pPr>
        <w:pStyle w:val="111"/>
        <w:rPr>
          <w:sz w:val="2"/>
          <w:szCs w:val="2"/>
          <w:lang w:val="en-US"/>
        </w:rPr>
      </w:pPr>
    </w:p>
    <w:p/>
    <w:p>
      <w:r>
        <w:t xml:space="preserve"> </w:t>
      </w:r>
    </w:p>
    <w:p>
      <w:pPr>
        <w:rPr>
          <w:rStyle w:val="97"/>
        </w:rPr>
      </w:pPr>
    </w:p>
    <w:p>
      <w:pPr>
        <w:pStyle w:val="111"/>
        <w:rPr>
          <w:rStyle w:val="97"/>
          <w:color w:val="auto"/>
        </w:rPr>
      </w:pPr>
    </w:p>
    <w:p>
      <w:pPr>
        <w:pStyle w:val="111"/>
        <w:rPr>
          <w:rStyle w:val="97"/>
        </w:rPr>
      </w:pPr>
    </w:p>
    <w:p>
      <w:pPr>
        <w:pStyle w:val="111"/>
      </w:pPr>
      <w:r>
        <w:t xml:space="preserve"> </w:t>
      </w:r>
    </w:p>
    <w:p>
      <w:pPr>
        <w:pStyle w:val="111"/>
        <w:rPr>
          <w:rStyle w:val="97"/>
        </w:rPr>
      </w:pPr>
    </w:p>
    <w:p>
      <w:pPr>
        <w:pStyle w:val="11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>
      <w:pPr>
        <w:pStyle w:val="111"/>
      </w:pPr>
    </w:p>
    <w:p>
      <w:pPr>
        <w:pStyle w:val="2"/>
      </w:pPr>
      <w:bookmarkStart w:id="2" w:name="Par692"/>
      <w:bookmarkEnd w:id="2"/>
      <w:r>
        <w:t>Условия и особенности заключаемого договора</w:t>
      </w:r>
    </w:p>
    <w:p>
      <w:pPr>
        <w:pStyle w:val="113"/>
      </w:pPr>
      <w:bookmarkStart w:id="3" w:name="Par697"/>
      <w:bookmarkEnd w:id="3"/>
    </w:p>
    <w:p>
      <w:pPr>
        <w:pStyle w:val="113"/>
      </w:pPr>
    </w:p>
    <w:p>
      <w:pPr>
        <w:pStyle w:val="113"/>
      </w:pPr>
      <w:bookmarkStart w:id="4" w:name="Par706"/>
      <w:bookmarkEnd w:id="4"/>
      <w:r>
        <w:rPr>
          <w:rFonts w:eastAsiaTheme="minorHAnsi"/>
          <w:lang w:eastAsia="en-US"/>
        </w:rPr>
        <w:t>Отсутствуют</w:t>
      </w:r>
    </w:p>
    <w:p>
      <w:pPr>
        <w:pStyle w:val="2"/>
      </w:pPr>
      <w:r>
        <w:t>Обязательства сторон</w:t>
      </w:r>
    </w:p>
    <w:p>
      <w:pPr>
        <w:rPr>
          <w:rStyle w:val="97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81" w:type="pct"/>
          </w:tcPr>
          <w:p>
            <w:pPr>
              <w:pStyle w:val="109"/>
              <w:keepNext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>
            <w:pPr>
              <w:pStyle w:val="109"/>
              <w:keepNext/>
            </w:pPr>
            <w:r>
              <w:t>Наименование</w:t>
            </w:r>
          </w:p>
        </w:tc>
        <w:tc>
          <w:tcPr>
            <w:tcW w:w="959" w:type="pct"/>
          </w:tcPr>
          <w:p>
            <w:pPr>
              <w:pStyle w:val="109"/>
              <w:keepNext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>
            <w:pPr>
              <w:pStyle w:val="109"/>
              <w:keepNext/>
            </w:pPr>
            <w:r>
              <w:t>Срок начала исполнения обязательства</w:t>
            </w:r>
          </w:p>
        </w:tc>
        <w:tc>
          <w:tcPr>
            <w:tcW w:w="629" w:type="pct"/>
            <w:shd w:val="clear" w:color="auto" w:fill="auto"/>
          </w:tcPr>
          <w:p>
            <w:pPr>
              <w:pStyle w:val="109"/>
              <w:keepNext/>
            </w:pPr>
            <w:r>
              <w:t>Срок окончания исполнения обязательства</w:t>
            </w:r>
          </w:p>
        </w:tc>
        <w:tc>
          <w:tcPr>
            <w:tcW w:w="622" w:type="pct"/>
            <w:shd w:val="clear" w:color="auto" w:fill="auto"/>
          </w:tcPr>
          <w:p>
            <w:pPr>
              <w:pStyle w:val="109"/>
              <w:keepNext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>
            <w:pPr>
              <w:pStyle w:val="109"/>
              <w:keepNext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>
            <w:pPr>
              <w:pStyle w:val="109"/>
              <w:keepNext/>
            </w:pPr>
            <w:r>
              <w:t>Получатель (потребитель)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" w:type="pct"/>
          </w:tcPr>
          <w:p>
            <w:pPr>
              <w:pStyle w:val="11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>
            <w:pPr>
              <w:pStyle w:val="111"/>
            </w:pPr>
            <w:r>
              <w:t>Оказание услуги по проведению аудита бухгалтерской (финансовой) отчетности МУП "Водоканал" г.о. Кашира за 2023 год</w:t>
            </w:r>
          </w:p>
        </w:tc>
        <w:tc>
          <w:tcPr>
            <w:tcW w:w="959" w:type="pct"/>
          </w:tcPr>
          <w:p>
            <w:pPr>
              <w:pStyle w:val="111"/>
            </w:pPr>
            <w:r>
              <w:t xml:space="preserve"> Наименование:  Услуги по проведению финансового аудита </w:t>
            </w:r>
          </w:p>
        </w:tc>
        <w:tc>
          <w:tcPr>
            <w:tcW w:w="671" w:type="pct"/>
            <w:shd w:val="clear" w:color="auto" w:fill="auto"/>
          </w:tcPr>
          <w:p>
            <w:pPr>
              <w:pStyle w:val="111"/>
              <w:rPr>
                <w:lang w:val="en-US"/>
              </w:rPr>
            </w:pPr>
            <w:r>
              <w:rPr>
                <w:lang w:val="en-US"/>
              </w:rPr>
              <w:t>1 раб.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>
            <w:pPr>
              <w:pStyle w:val="111"/>
              <w:rPr>
                <w:lang w:val="en-US"/>
              </w:rPr>
            </w:pPr>
            <w:r>
              <w:rPr>
                <w:lang w:val="en-US"/>
              </w:rPr>
              <w:t>30.08.2024 (МСК)</w:t>
            </w:r>
          </w:p>
        </w:tc>
        <w:tc>
          <w:tcPr>
            <w:tcW w:w="622" w:type="pct"/>
            <w:shd w:val="clear" w:color="auto" w:fill="auto"/>
          </w:tcPr>
          <w:p>
            <w:pPr>
              <w:pStyle w:val="111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>
            <w:pPr>
              <w:pStyle w:val="111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>
            <w:pPr>
              <w:pStyle w:val="111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</w:tbl>
    <w:p>
      <w:pPr>
        <w:rPr>
          <w:lang w:val="en-US"/>
        </w:rPr>
      </w:pPr>
    </w:p>
    <w:p>
      <w:pPr>
        <w:pStyle w:val="2"/>
      </w:pPr>
      <w:bookmarkStart w:id="5" w:name="Par712"/>
      <w:bookmarkEnd w:id="5"/>
      <w:r>
        <w:t>Порядок оплаты по договору</w:t>
      </w:r>
    </w:p>
    <w:p>
      <w:pPr>
        <w:rPr>
          <w:rStyle w:val="97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54" w:type="pct"/>
          </w:tcPr>
          <w:p>
            <w:pPr>
              <w:pStyle w:val="109"/>
              <w:keepNext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>
            <w:pPr>
              <w:pStyle w:val="109"/>
              <w:keepNext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>
            <w:pPr>
              <w:pStyle w:val="109"/>
              <w:keepNext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>
            <w:pPr>
              <w:pStyle w:val="109"/>
              <w:keepNext/>
            </w:pPr>
            <w:r>
              <w:t>Срок</w:t>
            </w:r>
          </w:p>
        </w:tc>
        <w:tc>
          <w:tcPr>
            <w:tcW w:w="651" w:type="pct"/>
            <w:shd w:val="clear" w:color="auto" w:fill="auto"/>
          </w:tcPr>
          <w:p>
            <w:pPr>
              <w:pStyle w:val="109"/>
              <w:keepNext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>
            <w:pPr>
              <w:pStyle w:val="109"/>
              <w:keepNext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>
            <w:pPr>
              <w:pStyle w:val="109"/>
              <w:keepNext/>
            </w:pPr>
            <w:r>
              <w:t>Учёт неустойки</w:t>
            </w:r>
          </w:p>
        </w:tc>
        <w:tc>
          <w:tcPr>
            <w:tcW w:w="753" w:type="pct"/>
          </w:tcPr>
          <w:p>
            <w:pPr>
              <w:pStyle w:val="109"/>
              <w:keepNext/>
            </w:pPr>
            <w:r>
              <w:t>Документ-предшественник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" w:type="pct"/>
          </w:tcPr>
          <w:p>
            <w:pPr>
              <w:pStyle w:val="11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>
            <w:pPr>
              <w:pStyle w:val="11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>
            <w:pPr>
              <w:pStyle w:val="11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>
            <w:pPr>
              <w:pStyle w:val="111"/>
            </w:pPr>
            <w:r>
              <w:t>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>
            <w:pPr>
              <w:pStyle w:val="11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>
            <w:pPr>
              <w:pStyle w:val="111"/>
              <w:jc w:val="right"/>
            </w:pPr>
          </w:p>
        </w:tc>
        <w:tc>
          <w:tcPr>
            <w:tcW w:w="753" w:type="pct"/>
            <w:shd w:val="clear" w:color="auto" w:fill="auto"/>
          </w:tcPr>
          <w:p>
            <w:pPr>
              <w:pStyle w:val="11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>
            <w:pPr>
              <w:pStyle w:val="111"/>
            </w:pPr>
            <w:r>
              <w:t>«Акт о выполнении работ (оказании услуг), унифицированный формат, приказ ФНС России от 30.11.2015 г. № ММВ-7-10/552@» (Оказание услуги по проведению аудита бухгалтерской (финансовой) отчетности МУП "Водоканал" г.о. Кашира за 2023 год)</w:t>
            </w:r>
          </w:p>
        </w:tc>
      </w:tr>
    </w:tbl>
    <w:p>
      <w:pPr>
        <w:rPr>
          <w:lang w:val="en-US"/>
        </w:rPr>
      </w:pPr>
    </w:p>
    <w:p>
      <w:r>
        <w:rPr>
          <w:lang w:val="en-US"/>
        </w:rPr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>
      <w:pPr>
        <w:pStyle w:val="2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/>
    <w:tbl>
      <w:tblPr>
        <w:tblStyle w:val="12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5409"/>
        <w:gridCol w:w="2480"/>
        <w:gridCol w:w="1865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086" w:type="pct"/>
            <w:shd w:val="clear" w:color="auto" w:fill="auto"/>
          </w:tcPr>
          <w:p>
            <w:pPr>
              <w:pStyle w:val="109"/>
              <w:keepNext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>
            <w:pPr>
              <w:pStyle w:val="109"/>
              <w:keepNext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>
            <w:pPr>
              <w:pStyle w:val="109"/>
              <w:keepNext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>
            <w:pPr>
              <w:pStyle w:val="109"/>
              <w:keepNext/>
            </w:pPr>
            <w:r>
              <w:t>Срок</w:t>
            </w:r>
          </w:p>
        </w:tc>
        <w:tc>
          <w:tcPr>
            <w:tcW w:w="630" w:type="pct"/>
            <w:shd w:val="clear" w:color="auto" w:fill="auto"/>
          </w:tcPr>
          <w:p>
            <w:pPr>
              <w:pStyle w:val="109"/>
              <w:keepNext/>
            </w:pPr>
            <w:r>
              <w:t>Ответственная сторона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6" w:type="pct"/>
            <w:vMerge w:val="restart"/>
            <w:shd w:val="clear" w:color="auto" w:fill="auto"/>
          </w:tcPr>
          <w:p>
            <w:pPr>
              <w:pStyle w:val="11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>
            <w:pPr>
              <w:pStyle w:val="111"/>
            </w:pPr>
            <w:r>
              <w:t>Оказание услуги по проведению аудита бухгалтерской (финансовой) отчетности МУП "Водоканал" г.о. Кашира за 2023 год</w:t>
            </w:r>
          </w:p>
        </w:tc>
        <w:tc>
          <w:tcPr>
            <w:tcW w:w="835" w:type="pct"/>
            <w:shd w:val="clear" w:color="auto" w:fill="auto"/>
          </w:tcPr>
          <w:p>
            <w:pPr>
              <w:pStyle w:val="11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>
            <w:pPr>
              <w:pStyle w:val="111"/>
            </w:pPr>
            <w:r>
              <w:t>10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>
            <w:pPr>
              <w:pStyle w:val="111"/>
            </w:pPr>
            <w:r>
              <w:t>Исполнитель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6" w:type="pct"/>
            <w:vMerge w:val="continue"/>
            <w:shd w:val="clear" w:color="auto" w:fill="auto"/>
          </w:tcPr>
          <w:p>
            <w:pPr>
              <w:pStyle w:val="111"/>
            </w:pPr>
          </w:p>
        </w:tc>
        <w:tc>
          <w:tcPr>
            <w:tcW w:w="1821" w:type="pct"/>
            <w:vMerge w:val="continue"/>
            <w:shd w:val="clear" w:color="auto" w:fill="auto"/>
          </w:tcPr>
          <w:p>
            <w:pPr>
              <w:pStyle w:val="111"/>
            </w:pPr>
          </w:p>
        </w:tc>
        <w:tc>
          <w:tcPr>
            <w:tcW w:w="835" w:type="pct"/>
            <w:shd w:val="clear" w:color="auto" w:fill="auto"/>
          </w:tcPr>
          <w:p>
            <w:pPr>
              <w:pStyle w:val="11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>
            <w:pPr>
              <w:pStyle w:val="11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>
            <w:pPr>
              <w:pStyle w:val="111"/>
            </w:pPr>
            <w:r>
              <w:t>Заказчик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6" w:type="pct"/>
            <w:shd w:val="clear" w:color="auto" w:fill="auto"/>
          </w:tcPr>
          <w:p>
            <w:pPr>
              <w:pStyle w:val="111"/>
            </w:pPr>
            <w:r>
              <w:t>Платежное поручение</w:t>
            </w:r>
          </w:p>
        </w:tc>
        <w:tc>
          <w:tcPr>
            <w:tcW w:w="1821" w:type="pct"/>
            <w:shd w:val="clear" w:color="auto" w:fill="auto"/>
          </w:tcPr>
          <w:p>
            <w:pPr>
              <w:pStyle w:val="11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>
            <w:pPr>
              <w:pStyle w:val="11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>
            <w:pPr>
              <w:pStyle w:val="11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>
            <w:pPr>
              <w:pStyle w:val="111"/>
            </w:pPr>
            <w:r>
              <w:t>Заказчик</w:t>
            </w:r>
          </w:p>
        </w:tc>
      </w:tr>
    </w:tbl>
    <w:p/>
    <w:p/>
    <w:p>
      <w:pPr>
        <w:rPr>
          <w:lang w:val="en-US"/>
        </w:rPr>
      </w:pPr>
    </w:p>
    <w:p>
      <w:pPr>
        <w:pStyle w:val="2"/>
      </w:pPr>
      <w:bookmarkStart w:id="7" w:name="Par770"/>
      <w:bookmarkEnd w:id="7"/>
      <w:r>
        <w:t>Порядок приёмки результатов исполнения</w:t>
      </w:r>
    </w:p>
    <w:p>
      <w:pPr>
        <w:rPr>
          <w:lang w:val="en-US"/>
        </w:rPr>
      </w:pPr>
    </w:p>
    <w:tbl>
      <w:tblPr>
        <w:tblStyle w:val="12"/>
        <w:tblW w:w="51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5408"/>
        <w:gridCol w:w="2480"/>
        <w:gridCol w:w="1864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058" w:type="pct"/>
            <w:shd w:val="clear" w:color="auto" w:fill="auto"/>
          </w:tcPr>
          <w:p>
            <w:pPr>
              <w:pStyle w:val="109"/>
              <w:keepNext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>
            <w:pPr>
              <w:pStyle w:val="109"/>
              <w:keepNext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>
            <w:pPr>
              <w:pStyle w:val="109"/>
              <w:keepNext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>
            <w:pPr>
              <w:pStyle w:val="109"/>
              <w:keepNext/>
            </w:pPr>
            <w:r>
              <w:t>Срок</w:t>
            </w:r>
          </w:p>
        </w:tc>
        <w:tc>
          <w:tcPr>
            <w:tcW w:w="745" w:type="pct"/>
            <w:shd w:val="clear" w:color="auto" w:fill="auto"/>
          </w:tcPr>
          <w:p>
            <w:pPr>
              <w:pStyle w:val="109"/>
              <w:keepNext/>
            </w:pPr>
            <w:r>
              <w:t>Ответственная сторона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8" w:type="pct"/>
            <w:vMerge w:val="restart"/>
            <w:shd w:val="clear" w:color="auto" w:fill="auto"/>
          </w:tcPr>
          <w:p>
            <w:pPr>
              <w:pStyle w:val="11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>
            <w:pPr>
              <w:pStyle w:val="111"/>
            </w:pPr>
            <w:r>
              <w:t>Оказание услуги по проведению аудита бухгалтерской (финансовой) отчетности МУП "Водоканал" г.о. Кашира за 2023 год</w:t>
            </w:r>
          </w:p>
        </w:tc>
        <w:tc>
          <w:tcPr>
            <w:tcW w:w="813" w:type="pct"/>
            <w:shd w:val="clear" w:color="auto" w:fill="auto"/>
          </w:tcPr>
          <w:p>
            <w:pPr>
              <w:pStyle w:val="11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>
            <w:pPr>
              <w:pStyle w:val="111"/>
            </w:pPr>
            <w:r>
              <w:t>10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>
            <w:pPr>
              <w:pStyle w:val="111"/>
            </w:pPr>
            <w:r>
              <w:t>Исполнитель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8" w:type="pct"/>
            <w:vMerge w:val="continue"/>
            <w:shd w:val="clear" w:color="auto" w:fill="auto"/>
          </w:tcPr>
          <w:p>
            <w:pPr>
              <w:pStyle w:val="111"/>
            </w:pPr>
          </w:p>
        </w:tc>
        <w:tc>
          <w:tcPr>
            <w:tcW w:w="1773" w:type="pct"/>
            <w:vMerge w:val="continue"/>
            <w:shd w:val="clear" w:color="auto" w:fill="auto"/>
          </w:tcPr>
          <w:p>
            <w:pPr>
              <w:pStyle w:val="111"/>
            </w:pPr>
          </w:p>
        </w:tc>
        <w:tc>
          <w:tcPr>
            <w:tcW w:w="813" w:type="pct"/>
            <w:shd w:val="clear" w:color="auto" w:fill="auto"/>
          </w:tcPr>
          <w:p>
            <w:pPr>
              <w:pStyle w:val="11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>
            <w:pPr>
              <w:pStyle w:val="11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>
            <w:pPr>
              <w:pStyle w:val="111"/>
            </w:pPr>
            <w:r>
              <w:t>Заказчик</w:t>
            </w:r>
          </w:p>
        </w:tc>
      </w:tr>
    </w:tbl>
    <w:p>
      <w:pPr>
        <w:rPr>
          <w:lang w:val="en-US"/>
        </w:rPr>
      </w:pPr>
    </w:p>
    <w:p>
      <w:pPr>
        <w:pStyle w:val="2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>
      <w:pPr>
        <w:pStyle w:val="113"/>
        <w:keepNext/>
        <w:rPr>
          <w:rStyle w:val="64"/>
        </w:rPr>
      </w:pPr>
      <w:r>
        <w:t>Сведения об ответственности за неисполнение (ненадлежащее исполнение) обязательств:</w:t>
      </w:r>
    </w:p>
    <w:p>
      <w:pPr>
        <w:pStyle w:val="113"/>
      </w:pPr>
      <w:r>
        <w:rPr>
          <w:rFonts w:eastAsiaTheme="minorHAnsi"/>
        </w:rPr>
        <w:t>Отсутствуют</w:t>
      </w:r>
    </w:p>
    <w:p>
      <w:pPr>
        <w:rPr>
          <w:szCs w:val="28"/>
        </w:rPr>
      </w:pPr>
      <w:r>
        <w:br w:type="page"/>
      </w:r>
    </w:p>
    <w:sectPr>
      <w:footerReference r:id="rId6" w:type="first"/>
      <w:footerReference r:id="rId5" w:type="default"/>
      <w:pgSz w:w="16838" w:h="11906" w:orient="landscape"/>
      <w:pgMar w:top="567" w:right="1134" w:bottom="1418" w:left="1134" w:header="720" w:footer="720" w:gutter="0"/>
      <w:cols w:space="720" w:num="1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rPr>
        <w:bCs/>
      </w:rPr>
      <w:fldChar w:fldCharType="begin"/>
    </w:r>
    <w:r>
      <w:rPr>
        <w:bCs/>
      </w:rPr>
      <w:instrText xml:space="preserve">PAGE</w:instrText>
    </w:r>
    <w:r>
      <w:rPr>
        <w:bCs/>
      </w:rPr>
      <w:fldChar w:fldCharType="separate"/>
    </w:r>
    <w:r>
      <w:rPr>
        <w:bCs/>
      </w:rPr>
      <w:t>21</w:t>
    </w:r>
    <w:r>
      <w:rPr>
        <w:bCs/>
      </w:rPr>
      <w:fldChar w:fldCharType="end"/>
    </w:r>
    <w:r>
      <w:t xml:space="preserve"> из </w:t>
    </w:r>
    <w:r>
      <w:rPr>
        <w:bCs/>
      </w:rPr>
      <w:fldChar w:fldCharType="begin"/>
    </w:r>
    <w:r>
      <w:rPr>
        <w:bCs/>
      </w:rPr>
      <w:instrText xml:space="preserve">NUMPAGES</w:instrText>
    </w:r>
    <w:r>
      <w:rPr>
        <w:bCs/>
      </w:rPr>
      <w:fldChar w:fldCharType="separate"/>
    </w:r>
    <w:r>
      <w:rPr>
        <w:bCs/>
      </w:rPr>
      <w:t>29</w:t>
    </w:r>
    <w:r>
      <w:rPr>
        <w:bCs/>
      </w:rPr>
      <w:fldChar w:fldCharType="end"/>
    </w:r>
  </w:p>
  <w:p>
    <w:pPr>
      <w:pStyle w:val="2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84"/>
      <w:lvlText w:val="%1."/>
      <w:lvlJc w:val="left"/>
      <w:pPr>
        <w:tabs>
          <w:tab w:val="left" w:pos="0"/>
        </w:tabs>
        <w:ind w:left="0" w:firstLine="709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 w:tentative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1422" w:hanging="85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 w:tentative="0">
      <w:start w:val="1"/>
      <w:numFmt w:val="decimal"/>
      <w:lvlText w:val="%1."/>
      <w:lvlJc w:val="left"/>
      <w:pPr>
        <w:ind w:left="928" w:hanging="360"/>
      </w:p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documentProtection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66D64"/>
    <w:rsid w:val="00072C17"/>
    <w:rsid w:val="0007302E"/>
    <w:rsid w:val="000746EE"/>
    <w:rsid w:val="00085DB5"/>
    <w:rsid w:val="00092B5E"/>
    <w:rsid w:val="0009303C"/>
    <w:rsid w:val="000958EF"/>
    <w:rsid w:val="00097DB2"/>
    <w:rsid w:val="000A16A1"/>
    <w:rsid w:val="000A2F4A"/>
    <w:rsid w:val="000A3F94"/>
    <w:rsid w:val="000A484B"/>
    <w:rsid w:val="000B04D4"/>
    <w:rsid w:val="000B14D3"/>
    <w:rsid w:val="000B3B17"/>
    <w:rsid w:val="000B5400"/>
    <w:rsid w:val="000B7D37"/>
    <w:rsid w:val="000C4806"/>
    <w:rsid w:val="000D4938"/>
    <w:rsid w:val="000E6153"/>
    <w:rsid w:val="000F3E47"/>
    <w:rsid w:val="000F58E5"/>
    <w:rsid w:val="00104C0D"/>
    <w:rsid w:val="0010520D"/>
    <w:rsid w:val="00107982"/>
    <w:rsid w:val="0011106E"/>
    <w:rsid w:val="00112263"/>
    <w:rsid w:val="00114BF3"/>
    <w:rsid w:val="001168CB"/>
    <w:rsid w:val="00124FCD"/>
    <w:rsid w:val="00134A8C"/>
    <w:rsid w:val="00140117"/>
    <w:rsid w:val="001406FC"/>
    <w:rsid w:val="0014412F"/>
    <w:rsid w:val="00145869"/>
    <w:rsid w:val="001470E9"/>
    <w:rsid w:val="0015016E"/>
    <w:rsid w:val="00153D60"/>
    <w:rsid w:val="00154074"/>
    <w:rsid w:val="00154B7C"/>
    <w:rsid w:val="00155E52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1F6AA7"/>
    <w:rsid w:val="00203575"/>
    <w:rsid w:val="002132CE"/>
    <w:rsid w:val="00214F44"/>
    <w:rsid w:val="00224458"/>
    <w:rsid w:val="00224FF0"/>
    <w:rsid w:val="00227D47"/>
    <w:rsid w:val="00231FC8"/>
    <w:rsid w:val="002335A3"/>
    <w:rsid w:val="00235245"/>
    <w:rsid w:val="0023639A"/>
    <w:rsid w:val="002407A4"/>
    <w:rsid w:val="00240B20"/>
    <w:rsid w:val="00246723"/>
    <w:rsid w:val="00247747"/>
    <w:rsid w:val="00252561"/>
    <w:rsid w:val="00252B1A"/>
    <w:rsid w:val="002556BC"/>
    <w:rsid w:val="0026014B"/>
    <w:rsid w:val="002621DF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1172"/>
    <w:rsid w:val="002F245B"/>
    <w:rsid w:val="002F3CA3"/>
    <w:rsid w:val="002F4B90"/>
    <w:rsid w:val="00300CD5"/>
    <w:rsid w:val="003026BE"/>
    <w:rsid w:val="00304179"/>
    <w:rsid w:val="00310A9A"/>
    <w:rsid w:val="00310C67"/>
    <w:rsid w:val="00311125"/>
    <w:rsid w:val="00312310"/>
    <w:rsid w:val="0031350F"/>
    <w:rsid w:val="00313AFE"/>
    <w:rsid w:val="0031663C"/>
    <w:rsid w:val="0031750B"/>
    <w:rsid w:val="00317F77"/>
    <w:rsid w:val="00326ED3"/>
    <w:rsid w:val="00344CBB"/>
    <w:rsid w:val="00350890"/>
    <w:rsid w:val="003515EE"/>
    <w:rsid w:val="003518B0"/>
    <w:rsid w:val="00352315"/>
    <w:rsid w:val="003527B6"/>
    <w:rsid w:val="0035308E"/>
    <w:rsid w:val="00370179"/>
    <w:rsid w:val="003701D7"/>
    <w:rsid w:val="00372083"/>
    <w:rsid w:val="00372409"/>
    <w:rsid w:val="00374995"/>
    <w:rsid w:val="00382DBF"/>
    <w:rsid w:val="00383CE9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05547"/>
    <w:rsid w:val="00407F63"/>
    <w:rsid w:val="00410DE6"/>
    <w:rsid w:val="00411BB8"/>
    <w:rsid w:val="00414FCE"/>
    <w:rsid w:val="00415B5D"/>
    <w:rsid w:val="00415D72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277D"/>
    <w:rsid w:val="00474C68"/>
    <w:rsid w:val="0047549D"/>
    <w:rsid w:val="00477450"/>
    <w:rsid w:val="00485F4C"/>
    <w:rsid w:val="00493790"/>
    <w:rsid w:val="00496520"/>
    <w:rsid w:val="00496E5A"/>
    <w:rsid w:val="004A21C8"/>
    <w:rsid w:val="004A34B3"/>
    <w:rsid w:val="004A54DB"/>
    <w:rsid w:val="004B2DDF"/>
    <w:rsid w:val="004B6602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187"/>
    <w:rsid w:val="00500995"/>
    <w:rsid w:val="00502E69"/>
    <w:rsid w:val="00503292"/>
    <w:rsid w:val="00507004"/>
    <w:rsid w:val="00507346"/>
    <w:rsid w:val="005074F6"/>
    <w:rsid w:val="00522E96"/>
    <w:rsid w:val="00524316"/>
    <w:rsid w:val="00525274"/>
    <w:rsid w:val="00530308"/>
    <w:rsid w:val="005330C0"/>
    <w:rsid w:val="00533B57"/>
    <w:rsid w:val="00540072"/>
    <w:rsid w:val="00541296"/>
    <w:rsid w:val="00544223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A4D01"/>
    <w:rsid w:val="005B007B"/>
    <w:rsid w:val="005B75BC"/>
    <w:rsid w:val="005B7F7B"/>
    <w:rsid w:val="005C0DA9"/>
    <w:rsid w:val="005C40F2"/>
    <w:rsid w:val="005D234A"/>
    <w:rsid w:val="005E30F4"/>
    <w:rsid w:val="005E423D"/>
    <w:rsid w:val="005E595F"/>
    <w:rsid w:val="00600D2A"/>
    <w:rsid w:val="0060188D"/>
    <w:rsid w:val="006026B0"/>
    <w:rsid w:val="00620874"/>
    <w:rsid w:val="006208E0"/>
    <w:rsid w:val="00620B21"/>
    <w:rsid w:val="00624FBD"/>
    <w:rsid w:val="00627CE8"/>
    <w:rsid w:val="00634989"/>
    <w:rsid w:val="00635C21"/>
    <w:rsid w:val="00640CCA"/>
    <w:rsid w:val="006426D7"/>
    <w:rsid w:val="00657D59"/>
    <w:rsid w:val="00657E20"/>
    <w:rsid w:val="00660552"/>
    <w:rsid w:val="00661EAA"/>
    <w:rsid w:val="006809DA"/>
    <w:rsid w:val="0068398F"/>
    <w:rsid w:val="0068700B"/>
    <w:rsid w:val="006A1BCE"/>
    <w:rsid w:val="006C06F8"/>
    <w:rsid w:val="006C0FFD"/>
    <w:rsid w:val="006C5D23"/>
    <w:rsid w:val="006C65B6"/>
    <w:rsid w:val="006C6979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54937"/>
    <w:rsid w:val="00762443"/>
    <w:rsid w:val="00763396"/>
    <w:rsid w:val="007745AF"/>
    <w:rsid w:val="007747FD"/>
    <w:rsid w:val="007754B0"/>
    <w:rsid w:val="007757FD"/>
    <w:rsid w:val="0077593F"/>
    <w:rsid w:val="00780BF9"/>
    <w:rsid w:val="0078114F"/>
    <w:rsid w:val="007822EB"/>
    <w:rsid w:val="00791254"/>
    <w:rsid w:val="007945D8"/>
    <w:rsid w:val="00794A0C"/>
    <w:rsid w:val="007A0315"/>
    <w:rsid w:val="007A09FE"/>
    <w:rsid w:val="007A2048"/>
    <w:rsid w:val="007A20DD"/>
    <w:rsid w:val="007A21E5"/>
    <w:rsid w:val="007A287C"/>
    <w:rsid w:val="007A2A88"/>
    <w:rsid w:val="007B2116"/>
    <w:rsid w:val="007C3BF1"/>
    <w:rsid w:val="007C6A40"/>
    <w:rsid w:val="007C7241"/>
    <w:rsid w:val="007D53D3"/>
    <w:rsid w:val="007D6747"/>
    <w:rsid w:val="007E641C"/>
    <w:rsid w:val="007F0B36"/>
    <w:rsid w:val="007F2CDD"/>
    <w:rsid w:val="007F2D0B"/>
    <w:rsid w:val="007F7321"/>
    <w:rsid w:val="00801264"/>
    <w:rsid w:val="00802C8A"/>
    <w:rsid w:val="00803EA8"/>
    <w:rsid w:val="00804273"/>
    <w:rsid w:val="00806ED8"/>
    <w:rsid w:val="00821E02"/>
    <w:rsid w:val="00822E1C"/>
    <w:rsid w:val="00826AF0"/>
    <w:rsid w:val="00826CC9"/>
    <w:rsid w:val="00827125"/>
    <w:rsid w:val="00832C4D"/>
    <w:rsid w:val="008337EB"/>
    <w:rsid w:val="00833CCA"/>
    <w:rsid w:val="00837DA1"/>
    <w:rsid w:val="00843A46"/>
    <w:rsid w:val="00844584"/>
    <w:rsid w:val="00851675"/>
    <w:rsid w:val="00851C71"/>
    <w:rsid w:val="00861C69"/>
    <w:rsid w:val="00867071"/>
    <w:rsid w:val="00872EF1"/>
    <w:rsid w:val="008731EE"/>
    <w:rsid w:val="00873822"/>
    <w:rsid w:val="00876256"/>
    <w:rsid w:val="00876A79"/>
    <w:rsid w:val="00880FEC"/>
    <w:rsid w:val="008812E8"/>
    <w:rsid w:val="00883EDA"/>
    <w:rsid w:val="00885418"/>
    <w:rsid w:val="0089628C"/>
    <w:rsid w:val="008972D8"/>
    <w:rsid w:val="00897D3C"/>
    <w:rsid w:val="008A2F3B"/>
    <w:rsid w:val="008A47DF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E2680"/>
    <w:rsid w:val="008F5D65"/>
    <w:rsid w:val="00902F23"/>
    <w:rsid w:val="00905ECB"/>
    <w:rsid w:val="00910A75"/>
    <w:rsid w:val="00915052"/>
    <w:rsid w:val="009165F1"/>
    <w:rsid w:val="0092039D"/>
    <w:rsid w:val="00921741"/>
    <w:rsid w:val="00924EA4"/>
    <w:rsid w:val="00927266"/>
    <w:rsid w:val="00927BC3"/>
    <w:rsid w:val="00935276"/>
    <w:rsid w:val="00935F40"/>
    <w:rsid w:val="009431FF"/>
    <w:rsid w:val="00943E25"/>
    <w:rsid w:val="00944025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0EE1"/>
    <w:rsid w:val="009B36D8"/>
    <w:rsid w:val="009B4439"/>
    <w:rsid w:val="009B543C"/>
    <w:rsid w:val="009B6BF4"/>
    <w:rsid w:val="009C1393"/>
    <w:rsid w:val="009C3957"/>
    <w:rsid w:val="009C3E42"/>
    <w:rsid w:val="009C55B4"/>
    <w:rsid w:val="009D4AA8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124D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3B92"/>
    <w:rsid w:val="00AA438B"/>
    <w:rsid w:val="00AA6869"/>
    <w:rsid w:val="00AB2B7B"/>
    <w:rsid w:val="00AB4DBF"/>
    <w:rsid w:val="00AB5733"/>
    <w:rsid w:val="00AC7D1D"/>
    <w:rsid w:val="00AD6893"/>
    <w:rsid w:val="00AE1510"/>
    <w:rsid w:val="00AE3E13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4B69"/>
    <w:rsid w:val="00B5533F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B3244"/>
    <w:rsid w:val="00BC09AA"/>
    <w:rsid w:val="00BC6F7F"/>
    <w:rsid w:val="00BC737F"/>
    <w:rsid w:val="00BD0CE3"/>
    <w:rsid w:val="00BD2A2F"/>
    <w:rsid w:val="00BD36D5"/>
    <w:rsid w:val="00BD6264"/>
    <w:rsid w:val="00BD648C"/>
    <w:rsid w:val="00BD71B4"/>
    <w:rsid w:val="00BE3E12"/>
    <w:rsid w:val="00BE59A5"/>
    <w:rsid w:val="00BF5222"/>
    <w:rsid w:val="00BF6AB1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C079F"/>
    <w:rsid w:val="00CD1C74"/>
    <w:rsid w:val="00CD7937"/>
    <w:rsid w:val="00CE7EAF"/>
    <w:rsid w:val="00CF5F00"/>
    <w:rsid w:val="00D009CA"/>
    <w:rsid w:val="00D06009"/>
    <w:rsid w:val="00D07CFE"/>
    <w:rsid w:val="00D113D2"/>
    <w:rsid w:val="00D16E73"/>
    <w:rsid w:val="00D17CFC"/>
    <w:rsid w:val="00D20D12"/>
    <w:rsid w:val="00D232BF"/>
    <w:rsid w:val="00D24556"/>
    <w:rsid w:val="00D2608B"/>
    <w:rsid w:val="00D36465"/>
    <w:rsid w:val="00D5021F"/>
    <w:rsid w:val="00D60861"/>
    <w:rsid w:val="00D64D89"/>
    <w:rsid w:val="00D76BEF"/>
    <w:rsid w:val="00D8338A"/>
    <w:rsid w:val="00D941BF"/>
    <w:rsid w:val="00DA0630"/>
    <w:rsid w:val="00DA24F4"/>
    <w:rsid w:val="00DA48B9"/>
    <w:rsid w:val="00DA6BD1"/>
    <w:rsid w:val="00DB0BE5"/>
    <w:rsid w:val="00DC0338"/>
    <w:rsid w:val="00DC617C"/>
    <w:rsid w:val="00DD0BB5"/>
    <w:rsid w:val="00DD31BE"/>
    <w:rsid w:val="00DE7CE2"/>
    <w:rsid w:val="00DF025F"/>
    <w:rsid w:val="00DF0331"/>
    <w:rsid w:val="00DF7599"/>
    <w:rsid w:val="00E05F40"/>
    <w:rsid w:val="00E148AA"/>
    <w:rsid w:val="00E1775E"/>
    <w:rsid w:val="00E17A5B"/>
    <w:rsid w:val="00E2118C"/>
    <w:rsid w:val="00E2680E"/>
    <w:rsid w:val="00E30826"/>
    <w:rsid w:val="00E32DBB"/>
    <w:rsid w:val="00E351C6"/>
    <w:rsid w:val="00E50172"/>
    <w:rsid w:val="00E654AE"/>
    <w:rsid w:val="00E717CC"/>
    <w:rsid w:val="00E86636"/>
    <w:rsid w:val="00E90D6E"/>
    <w:rsid w:val="00E92C92"/>
    <w:rsid w:val="00EB33B4"/>
    <w:rsid w:val="00EB7161"/>
    <w:rsid w:val="00EC038C"/>
    <w:rsid w:val="00EC118F"/>
    <w:rsid w:val="00EC1A7E"/>
    <w:rsid w:val="00EC7F9E"/>
    <w:rsid w:val="00ED0D81"/>
    <w:rsid w:val="00ED4433"/>
    <w:rsid w:val="00ED7FD5"/>
    <w:rsid w:val="00EE2361"/>
    <w:rsid w:val="00EF3E1A"/>
    <w:rsid w:val="00EF43B4"/>
    <w:rsid w:val="00EF72B3"/>
    <w:rsid w:val="00EF7954"/>
    <w:rsid w:val="00F1274F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576D1"/>
    <w:rsid w:val="00F642EF"/>
    <w:rsid w:val="00F65747"/>
    <w:rsid w:val="00F65E77"/>
    <w:rsid w:val="00F679D7"/>
    <w:rsid w:val="00F7203C"/>
    <w:rsid w:val="00F80BAD"/>
    <w:rsid w:val="00F82D14"/>
    <w:rsid w:val="00F84379"/>
    <w:rsid w:val="00F90A9C"/>
    <w:rsid w:val="00F913EB"/>
    <w:rsid w:val="00F91FDF"/>
    <w:rsid w:val="00F967B9"/>
    <w:rsid w:val="00F97186"/>
    <w:rsid w:val="00F9718D"/>
    <w:rsid w:val="00FA1709"/>
    <w:rsid w:val="00FA49D8"/>
    <w:rsid w:val="00FA52ED"/>
    <w:rsid w:val="00FA5BF0"/>
    <w:rsid w:val="00FC018E"/>
    <w:rsid w:val="00FC0CF3"/>
    <w:rsid w:val="00FC2EB8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3CE24DC0"/>
    <w:rsid w:val="695A0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00"/>
    <w:qFormat/>
    <w:uiPriority w:val="9"/>
    <w:pPr>
      <w:keepNext/>
      <w:widowControl w:val="0"/>
      <w:numPr>
        <w:ilvl w:val="0"/>
        <w:numId w:val="1"/>
      </w:numPr>
      <w:spacing w:before="4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3">
    <w:name w:val="heading 2"/>
    <w:basedOn w:val="1"/>
    <w:next w:val="1"/>
    <w:link w:val="102"/>
    <w:unhideWhenUsed/>
    <w:qFormat/>
    <w:uiPriority w:val="9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eastAsia="Arial Unicode MS" w:cs="Arial"/>
      <w:b/>
      <w:bCs/>
      <w:sz w:val="26"/>
      <w:szCs w:val="26"/>
    </w:rPr>
  </w:style>
  <w:style w:type="paragraph" w:styleId="5">
    <w:name w:val="heading 4"/>
    <w:basedOn w:val="1"/>
    <w:next w:val="1"/>
    <w:link w:val="103"/>
    <w:semiHidden/>
    <w:unhideWhenUsed/>
    <w:qFormat/>
    <w:uiPriority w:val="9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">
    <w:name w:val="heading 5"/>
    <w:basedOn w:val="1"/>
    <w:next w:val="1"/>
    <w:link w:val="104"/>
    <w:semiHidden/>
    <w:unhideWhenUsed/>
    <w:qFormat/>
    <w:uiPriority w:val="9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styleId="7">
    <w:name w:val="heading 6"/>
    <w:basedOn w:val="1"/>
    <w:next w:val="1"/>
    <w:link w:val="105"/>
    <w:semiHidden/>
    <w:unhideWhenUsed/>
    <w:qFormat/>
    <w:uiPriority w:val="9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styleId="8">
    <w:name w:val="heading 7"/>
    <w:basedOn w:val="1"/>
    <w:next w:val="1"/>
    <w:link w:val="106"/>
    <w:semiHidden/>
    <w:unhideWhenUsed/>
    <w:qFormat/>
    <w:uiPriority w:val="9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07"/>
    <w:semiHidden/>
    <w:unhideWhenUsed/>
    <w:qFormat/>
    <w:uiPriority w:val="9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108"/>
    <w:semiHidden/>
    <w:unhideWhenUsed/>
    <w:qFormat/>
    <w:uiPriority w:val="9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vertAlign w:val="superscript"/>
    </w:rPr>
  </w:style>
  <w:style w:type="character" w:styleId="14">
    <w:name w:val="annotation reference"/>
    <w:semiHidden/>
    <w:unhideWhenUsed/>
    <w:qFormat/>
    <w:uiPriority w:val="99"/>
    <w:rPr>
      <w:sz w:val="16"/>
      <w:szCs w:val="16"/>
    </w:rPr>
  </w:style>
  <w:style w:type="character" w:styleId="15">
    <w:name w:val="endnote reference"/>
    <w:qFormat/>
    <w:uiPriority w:val="0"/>
    <w:rPr>
      <w:vertAlign w:val="superscript"/>
    </w:rPr>
  </w:style>
  <w:style w:type="character" w:styleId="16">
    <w:name w:val="Hyperlink"/>
    <w:qFormat/>
    <w:uiPriority w:val="0"/>
    <w:rPr>
      <w:color w:val="000080"/>
      <w:u w:val="single"/>
    </w:rPr>
  </w:style>
  <w:style w:type="paragraph" w:styleId="17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8">
    <w:name w:val="annotation text"/>
    <w:basedOn w:val="1"/>
    <w:link w:val="95"/>
    <w:semiHidden/>
    <w:unhideWhenUsed/>
    <w:qFormat/>
    <w:uiPriority w:val="99"/>
    <w:rPr>
      <w:sz w:val="20"/>
      <w:szCs w:val="20"/>
    </w:rPr>
  </w:style>
  <w:style w:type="paragraph" w:styleId="19">
    <w:name w:val="annotation subject"/>
    <w:basedOn w:val="18"/>
    <w:next w:val="18"/>
    <w:link w:val="96"/>
    <w:semiHidden/>
    <w:unhideWhenUsed/>
    <w:qFormat/>
    <w:uiPriority w:val="99"/>
    <w:rPr>
      <w:b/>
      <w:bCs/>
    </w:rPr>
  </w:style>
  <w:style w:type="paragraph" w:styleId="20">
    <w:name w:val="Document Map"/>
    <w:basedOn w:val="1"/>
    <w:link w:val="9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1">
    <w:name w:val="footnote text"/>
    <w:basedOn w:val="1"/>
    <w:qFormat/>
    <w:uiPriority w:val="0"/>
    <w:rPr>
      <w:sz w:val="20"/>
      <w:szCs w:val="20"/>
    </w:rPr>
  </w:style>
  <w:style w:type="paragraph" w:styleId="22">
    <w:name w:val="head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23">
    <w:name w:val="Body Text"/>
    <w:basedOn w:val="1"/>
    <w:uiPriority w:val="0"/>
    <w:pPr>
      <w:spacing w:after="120"/>
    </w:pPr>
  </w:style>
  <w:style w:type="paragraph" w:styleId="24">
    <w:name w:val="Title"/>
    <w:basedOn w:val="25"/>
    <w:next w:val="1"/>
    <w:link w:val="101"/>
    <w:qFormat/>
    <w:uiPriority w:val="10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25">
    <w:name w:val="Standard"/>
    <w:qFormat/>
    <w:uiPriority w:val="0"/>
    <w:pPr>
      <w:widowControl w:val="0"/>
      <w:suppressAutoHyphens/>
      <w:spacing w:after="160" w:line="259" w:lineRule="auto"/>
      <w:textAlignment w:val="baseline"/>
    </w:pPr>
    <w:rPr>
      <w:rFonts w:ascii="Arial" w:hAnsi="Arial" w:eastAsia="Calibri" w:cs="Arial"/>
      <w:kern w:val="1"/>
      <w:sz w:val="18"/>
      <w:szCs w:val="18"/>
      <w:lang w:val="ru-RU" w:eastAsia="ar-SA" w:bidi="ar-SA"/>
    </w:rPr>
  </w:style>
  <w:style w:type="paragraph" w:styleId="26">
    <w:name w:val="foot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27">
    <w:name w:val="List"/>
    <w:basedOn w:val="23"/>
    <w:qFormat/>
    <w:uiPriority w:val="0"/>
    <w:rPr>
      <w:rFonts w:cs="Mangal"/>
    </w:rPr>
  </w:style>
  <w:style w:type="paragraph" w:styleId="28">
    <w:name w:val="HTML Preformatted"/>
    <w:basedOn w:val="1"/>
    <w:link w:val="115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table" w:styleId="29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WW8Num1z0"/>
    <w:qFormat/>
    <w:uiPriority w:val="0"/>
  </w:style>
  <w:style w:type="character" w:customStyle="1" w:styleId="31">
    <w:name w:val="WW8Num1z1"/>
    <w:qFormat/>
    <w:uiPriority w:val="0"/>
    <w:rPr>
      <w:rFonts w:cs="Times New Roman"/>
    </w:rPr>
  </w:style>
  <w:style w:type="character" w:customStyle="1" w:styleId="32">
    <w:name w:val="WW8Num1z2"/>
    <w:uiPriority w:val="0"/>
  </w:style>
  <w:style w:type="character" w:customStyle="1" w:styleId="33">
    <w:name w:val="WW8Num1z3"/>
    <w:qFormat/>
    <w:uiPriority w:val="0"/>
  </w:style>
  <w:style w:type="character" w:customStyle="1" w:styleId="34">
    <w:name w:val="WW8Num1z4"/>
    <w:uiPriority w:val="0"/>
  </w:style>
  <w:style w:type="character" w:customStyle="1" w:styleId="35">
    <w:name w:val="WW8Num1z5"/>
    <w:qFormat/>
    <w:uiPriority w:val="0"/>
  </w:style>
  <w:style w:type="character" w:customStyle="1" w:styleId="36">
    <w:name w:val="WW8Num1z6"/>
    <w:qFormat/>
    <w:uiPriority w:val="0"/>
  </w:style>
  <w:style w:type="character" w:customStyle="1" w:styleId="37">
    <w:name w:val="WW8Num1z7"/>
    <w:qFormat/>
    <w:uiPriority w:val="0"/>
  </w:style>
  <w:style w:type="character" w:customStyle="1" w:styleId="38">
    <w:name w:val="WW8Num1z8"/>
    <w:uiPriority w:val="0"/>
  </w:style>
  <w:style w:type="character" w:customStyle="1" w:styleId="39">
    <w:name w:val="WW8Num2z0"/>
    <w:qFormat/>
    <w:uiPriority w:val="0"/>
  </w:style>
  <w:style w:type="character" w:customStyle="1" w:styleId="40">
    <w:name w:val="WW8Num2z1"/>
    <w:qFormat/>
    <w:uiPriority w:val="0"/>
    <w:rPr>
      <w:rFonts w:cs="Times New Roman"/>
    </w:rPr>
  </w:style>
  <w:style w:type="character" w:customStyle="1" w:styleId="41">
    <w:name w:val="WW8Num2z4"/>
    <w:qFormat/>
    <w:uiPriority w:val="0"/>
  </w:style>
  <w:style w:type="character" w:customStyle="1" w:styleId="42">
    <w:name w:val="WW8Num2z5"/>
    <w:uiPriority w:val="0"/>
  </w:style>
  <w:style w:type="character" w:customStyle="1" w:styleId="43">
    <w:name w:val="WW8Num2z6"/>
    <w:qFormat/>
    <w:uiPriority w:val="0"/>
  </w:style>
  <w:style w:type="character" w:customStyle="1" w:styleId="44">
    <w:name w:val="WW8Num2z7"/>
    <w:qFormat/>
    <w:uiPriority w:val="0"/>
  </w:style>
  <w:style w:type="character" w:customStyle="1" w:styleId="45">
    <w:name w:val="WW8Num2z8"/>
    <w:qFormat/>
    <w:uiPriority w:val="0"/>
  </w:style>
  <w:style w:type="character" w:customStyle="1" w:styleId="46">
    <w:name w:val="WW8Num3z0"/>
    <w:qFormat/>
    <w:uiPriority w:val="0"/>
  </w:style>
  <w:style w:type="character" w:customStyle="1" w:styleId="47">
    <w:name w:val="WW8Num3z1"/>
    <w:qFormat/>
    <w:uiPriority w:val="0"/>
  </w:style>
  <w:style w:type="character" w:customStyle="1" w:styleId="48">
    <w:name w:val="WW8Num3z2"/>
    <w:qFormat/>
    <w:uiPriority w:val="0"/>
  </w:style>
  <w:style w:type="character" w:customStyle="1" w:styleId="49">
    <w:name w:val="WW8Num3z3"/>
    <w:qFormat/>
    <w:uiPriority w:val="0"/>
  </w:style>
  <w:style w:type="character" w:customStyle="1" w:styleId="50">
    <w:name w:val="WW8Num3z4"/>
    <w:qFormat/>
    <w:uiPriority w:val="0"/>
  </w:style>
  <w:style w:type="character" w:customStyle="1" w:styleId="51">
    <w:name w:val="WW8Num3z5"/>
    <w:qFormat/>
    <w:uiPriority w:val="0"/>
  </w:style>
  <w:style w:type="character" w:customStyle="1" w:styleId="52">
    <w:name w:val="WW8Num3z6"/>
    <w:qFormat/>
    <w:uiPriority w:val="0"/>
  </w:style>
  <w:style w:type="character" w:customStyle="1" w:styleId="53">
    <w:name w:val="WW8Num3z7"/>
    <w:qFormat/>
    <w:uiPriority w:val="0"/>
  </w:style>
  <w:style w:type="character" w:customStyle="1" w:styleId="54">
    <w:name w:val="WW8Num3z8"/>
    <w:qFormat/>
    <w:uiPriority w:val="0"/>
  </w:style>
  <w:style w:type="character" w:customStyle="1" w:styleId="55">
    <w:name w:val="WW8Num4z0"/>
    <w:qFormat/>
    <w:uiPriority w:val="0"/>
  </w:style>
  <w:style w:type="character" w:customStyle="1" w:styleId="56">
    <w:name w:val="WW8Num4z1"/>
    <w:qFormat/>
    <w:uiPriority w:val="0"/>
  </w:style>
  <w:style w:type="character" w:customStyle="1" w:styleId="57">
    <w:name w:val="WW8Num4z2"/>
    <w:uiPriority w:val="0"/>
    <w:rPr>
      <w:i/>
      <w:iCs/>
      <w:color w:val="000000"/>
      <w:sz w:val="28"/>
      <w:szCs w:val="28"/>
    </w:rPr>
  </w:style>
  <w:style w:type="character" w:customStyle="1" w:styleId="58">
    <w:name w:val="WW8Num4z3"/>
    <w:qFormat/>
    <w:uiPriority w:val="0"/>
  </w:style>
  <w:style w:type="character" w:customStyle="1" w:styleId="59">
    <w:name w:val="WW8Num4z4"/>
    <w:qFormat/>
    <w:uiPriority w:val="0"/>
  </w:style>
  <w:style w:type="character" w:customStyle="1" w:styleId="60">
    <w:name w:val="WW8Num4z5"/>
    <w:qFormat/>
    <w:uiPriority w:val="0"/>
  </w:style>
  <w:style w:type="character" w:customStyle="1" w:styleId="61">
    <w:name w:val="WW8Num4z6"/>
    <w:qFormat/>
    <w:uiPriority w:val="0"/>
  </w:style>
  <w:style w:type="character" w:customStyle="1" w:styleId="62">
    <w:name w:val="WW8Num4z7"/>
    <w:qFormat/>
    <w:uiPriority w:val="0"/>
  </w:style>
  <w:style w:type="character" w:customStyle="1" w:styleId="63">
    <w:name w:val="WW8Num4z8"/>
    <w:uiPriority w:val="0"/>
  </w:style>
  <w:style w:type="character" w:customStyle="1" w:styleId="64">
    <w:name w:val="Основной шрифт абзаца1"/>
    <w:qFormat/>
    <w:uiPriority w:val="0"/>
  </w:style>
  <w:style w:type="character" w:customStyle="1" w:styleId="65">
    <w:name w:val="Основной текст 3 Знак"/>
    <w:qFormat/>
    <w:uiPriority w:val="0"/>
    <w:rPr>
      <w:sz w:val="24"/>
      <w:lang w:val="ru-RU" w:eastAsia="ar-SA" w:bidi="ar-SA"/>
    </w:rPr>
  </w:style>
  <w:style w:type="character" w:customStyle="1" w:styleId="66">
    <w:name w:val="Верхний колонтитул Знак"/>
    <w:qFormat/>
    <w:uiPriority w:val="99"/>
    <w:rPr>
      <w:sz w:val="24"/>
      <w:szCs w:val="24"/>
    </w:rPr>
  </w:style>
  <w:style w:type="character" w:customStyle="1" w:styleId="67">
    <w:name w:val="Нижний колонтитул Знак"/>
    <w:qFormat/>
    <w:uiPriority w:val="99"/>
    <w:rPr>
      <w:sz w:val="24"/>
      <w:szCs w:val="24"/>
    </w:rPr>
  </w:style>
  <w:style w:type="character" w:customStyle="1" w:styleId="68">
    <w:name w:val="Заголовок 3 Знак"/>
    <w:qFormat/>
    <w:uiPriority w:val="0"/>
    <w:rPr>
      <w:rFonts w:ascii="Arial" w:hAnsi="Arial" w:eastAsia="Arial Unicode MS" w:cs="Arial"/>
      <w:b/>
      <w:bCs/>
      <w:sz w:val="26"/>
      <w:szCs w:val="26"/>
    </w:rPr>
  </w:style>
  <w:style w:type="character" w:customStyle="1" w:styleId="69">
    <w:name w:val="Текст сноски Знак"/>
    <w:basedOn w:val="64"/>
    <w:qFormat/>
    <w:uiPriority w:val="0"/>
  </w:style>
  <w:style w:type="character" w:customStyle="1" w:styleId="70">
    <w:name w:val="Символ сноски"/>
    <w:qFormat/>
    <w:uiPriority w:val="0"/>
    <w:rPr>
      <w:vertAlign w:val="superscript"/>
    </w:rPr>
  </w:style>
  <w:style w:type="character" w:customStyle="1" w:styleId="71">
    <w:name w:val="Символы концевой сноски"/>
    <w:qFormat/>
    <w:uiPriority w:val="0"/>
    <w:rPr>
      <w:vertAlign w:val="superscript"/>
    </w:rPr>
  </w:style>
  <w:style w:type="character" w:customStyle="1" w:styleId="72">
    <w:name w:val="WW-Символы концевой сноски"/>
    <w:qFormat/>
    <w:uiPriority w:val="0"/>
  </w:style>
  <w:style w:type="character" w:customStyle="1" w:styleId="73">
    <w:name w:val="Знак сноски1"/>
    <w:qFormat/>
    <w:uiPriority w:val="0"/>
    <w:rPr>
      <w:rFonts w:cs="Times New Roman"/>
      <w:position w:val="11"/>
      <w:sz w:val="16"/>
    </w:rPr>
  </w:style>
  <w:style w:type="character" w:customStyle="1" w:styleId="74">
    <w:name w:val="Символ нумерации"/>
    <w:qFormat/>
    <w:uiPriority w:val="0"/>
  </w:style>
  <w:style w:type="paragraph" w:customStyle="1" w:styleId="75">
    <w:name w:val="Заголовок1"/>
    <w:basedOn w:val="1"/>
    <w:next w:val="23"/>
    <w:uiPriority w:val="0"/>
    <w:pPr>
      <w:keepNext/>
      <w:spacing w:before="240" w:after="120"/>
    </w:pPr>
    <w:rPr>
      <w:rFonts w:ascii="Arial" w:hAnsi="Arial" w:eastAsia="Microsoft YaHei" w:cs="Mangal"/>
      <w:szCs w:val="28"/>
    </w:rPr>
  </w:style>
  <w:style w:type="paragraph" w:customStyle="1" w:styleId="76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77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78">
    <w:name w:val="ConsPlusNonformat"/>
    <w:uiPriority w:val="0"/>
    <w:pPr>
      <w:suppressAutoHyphens/>
      <w:autoSpaceDE w:val="0"/>
      <w:spacing w:after="160" w:line="259" w:lineRule="auto"/>
    </w:pPr>
    <w:rPr>
      <w:rFonts w:ascii="Courier New" w:hAnsi="Courier New" w:eastAsia="Times New Roman" w:cs="Courier New"/>
      <w:lang w:val="ru-RU" w:eastAsia="ar-SA" w:bidi="ar-SA"/>
    </w:rPr>
  </w:style>
  <w:style w:type="paragraph" w:customStyle="1" w:styleId="79">
    <w:name w:val="ConsPlusTitle"/>
    <w:qFormat/>
    <w:uiPriority w:val="0"/>
    <w:pPr>
      <w:suppressAutoHyphens/>
      <w:autoSpaceDE w:val="0"/>
      <w:spacing w:after="160" w:line="259" w:lineRule="auto"/>
    </w:pPr>
    <w:rPr>
      <w:rFonts w:ascii="Times New Roman" w:hAnsi="Times New Roman" w:eastAsia="Times New Roman" w:cs="Times New Roman"/>
      <w:b/>
      <w:bCs/>
      <w:sz w:val="28"/>
      <w:szCs w:val="28"/>
      <w:lang w:val="ru-RU" w:eastAsia="ar-SA" w:bidi="ar-SA"/>
    </w:rPr>
  </w:style>
  <w:style w:type="paragraph" w:customStyle="1" w:styleId="80">
    <w:name w:val="ConsPlusCell"/>
    <w:qFormat/>
    <w:uiPriority w:val="0"/>
    <w:pPr>
      <w:suppressAutoHyphens/>
      <w:autoSpaceDE w:val="0"/>
      <w:spacing w:after="160" w:line="259" w:lineRule="auto"/>
    </w:pPr>
    <w:rPr>
      <w:rFonts w:ascii="Courier New" w:hAnsi="Courier New" w:eastAsia="Times New Roman" w:cs="Courier New"/>
      <w:lang w:val="ru-RU" w:eastAsia="ar-SA" w:bidi="ar-SA"/>
    </w:rPr>
  </w:style>
  <w:style w:type="paragraph" w:customStyle="1" w:styleId="81">
    <w:name w:val="ConsPlusNormal"/>
    <w:uiPriority w:val="0"/>
    <w:pPr>
      <w:widowControl w:val="0"/>
      <w:suppressAutoHyphens/>
      <w:autoSpaceDE w:val="0"/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customStyle="1" w:styleId="82">
    <w:name w:val="Основной текст 31"/>
    <w:basedOn w:val="1"/>
    <w:qFormat/>
    <w:uiPriority w:val="0"/>
    <w:pPr>
      <w:jc w:val="both"/>
    </w:pPr>
    <w:rPr>
      <w:szCs w:val="20"/>
    </w:rPr>
  </w:style>
  <w:style w:type="paragraph" w:customStyle="1" w:styleId="83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84">
    <w:name w:val="Заголовок №1"/>
    <w:basedOn w:val="25"/>
    <w:uiPriority w:val="0"/>
    <w:pPr>
      <w:numPr>
        <w:ilvl w:val="0"/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85">
    <w:name w:val="Заголовок №2 (2)"/>
    <w:basedOn w:val="25"/>
    <w:qFormat/>
    <w:uiPriority w:val="0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86">
    <w:name w:val="Заголовок №31"/>
    <w:basedOn w:val="25"/>
    <w:qFormat/>
    <w:uiPriority w:val="0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87">
    <w:name w:val="Заголовок №4"/>
    <w:basedOn w:val="25"/>
    <w:qFormat/>
    <w:uiPriority w:val="0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88">
    <w:name w:val="Содержимое таблицы"/>
    <w:basedOn w:val="1"/>
    <w:uiPriority w:val="0"/>
    <w:pPr>
      <w:suppressLineNumbers/>
    </w:pPr>
  </w:style>
  <w:style w:type="paragraph" w:customStyle="1" w:styleId="89">
    <w:name w:val="Заголовок таблицы"/>
    <w:basedOn w:val="88"/>
    <w:uiPriority w:val="0"/>
    <w:pPr>
      <w:jc w:val="center"/>
    </w:pPr>
    <w:rPr>
      <w:b/>
      <w:bCs/>
    </w:rPr>
  </w:style>
  <w:style w:type="paragraph" w:customStyle="1" w:styleId="90">
    <w:name w:val="Текст сноски1"/>
    <w:basedOn w:val="1"/>
    <w:qFormat/>
    <w:uiPriority w:val="0"/>
    <w:rPr>
      <w:color w:val="00000A"/>
      <w:sz w:val="20"/>
      <w:szCs w:val="20"/>
      <w:lang w:val="en-US"/>
    </w:rPr>
  </w:style>
  <w:style w:type="paragraph" w:customStyle="1" w:styleId="91">
    <w:name w:val="Обычный1"/>
    <w:uiPriority w:val="0"/>
    <w:pPr>
      <w:widowControl w:val="0"/>
      <w:suppressAutoHyphens/>
      <w:spacing w:after="160" w:line="259" w:lineRule="auto"/>
    </w:pPr>
    <w:rPr>
      <w:rFonts w:ascii="Times New Roman" w:hAnsi="Times New Roman" w:eastAsia="SimSun" w:cs="Mangal"/>
      <w:sz w:val="24"/>
      <w:szCs w:val="24"/>
      <w:lang w:val="ru-RU" w:eastAsia="hi-IN" w:bidi="hi-IN"/>
    </w:rPr>
  </w:style>
  <w:style w:type="paragraph" w:customStyle="1" w:styleId="92">
    <w:name w:val="Стиль3"/>
    <w:qFormat/>
    <w:uiPriority w:val="0"/>
    <w:pPr>
      <w:widowControl w:val="0"/>
      <w:suppressAutoHyphens/>
      <w:autoSpaceDN w:val="0"/>
      <w:spacing w:after="160" w:line="259" w:lineRule="auto"/>
      <w:jc w:val="both"/>
      <w:textAlignment w:val="baseline"/>
    </w:pPr>
    <w:rPr>
      <w:rFonts w:ascii="Arial Unicode MS" w:hAnsi="Arial Unicode MS" w:eastAsia="Arial Unicode MS" w:cs="Arial Unicode MS"/>
      <w:kern w:val="3"/>
      <w:lang w:val="ru-RU" w:eastAsia="ru-RU" w:bidi="ar-SA"/>
    </w:rPr>
  </w:style>
  <w:style w:type="paragraph" w:customStyle="1" w:styleId="93">
    <w:name w:val="Footnote"/>
    <w:basedOn w:val="25"/>
    <w:qFormat/>
    <w:uiPriority w:val="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94">
    <w:name w:val="Основной текст (2)"/>
    <w:basedOn w:val="25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95">
    <w:name w:val="Текст примечания Знак"/>
    <w:link w:val="18"/>
    <w:semiHidden/>
    <w:qFormat/>
    <w:uiPriority w:val="99"/>
    <w:rPr>
      <w:lang w:eastAsia="ar-SA"/>
    </w:rPr>
  </w:style>
  <w:style w:type="character" w:customStyle="1" w:styleId="96">
    <w:name w:val="Тема примечания Знак"/>
    <w:link w:val="19"/>
    <w:semiHidden/>
    <w:uiPriority w:val="99"/>
    <w:rPr>
      <w:b/>
      <w:bCs/>
      <w:lang w:eastAsia="ar-SA"/>
    </w:rPr>
  </w:style>
  <w:style w:type="character" w:styleId="97">
    <w:name w:val="Placeholder Text"/>
    <w:basedOn w:val="11"/>
    <w:semiHidden/>
    <w:uiPriority w:val="99"/>
    <w:rPr>
      <w:color w:val="808080"/>
    </w:rPr>
  </w:style>
  <w:style w:type="paragraph" w:styleId="98">
    <w:name w:val="List Paragraph"/>
    <w:basedOn w:val="1"/>
    <w:qFormat/>
    <w:uiPriority w:val="34"/>
    <w:pPr>
      <w:ind w:left="720"/>
      <w:contextualSpacing/>
    </w:pPr>
  </w:style>
  <w:style w:type="character" w:customStyle="1" w:styleId="99">
    <w:name w:val="Схема документа Знак"/>
    <w:basedOn w:val="11"/>
    <w:link w:val="20"/>
    <w:semiHidden/>
    <w:qFormat/>
    <w:uiPriority w:val="99"/>
    <w:rPr>
      <w:rFonts w:ascii="Tahoma" w:hAnsi="Tahoma" w:cs="Tahoma"/>
      <w:sz w:val="16"/>
      <w:szCs w:val="16"/>
      <w:lang w:val="ru-RU" w:eastAsia="ar-SA"/>
    </w:rPr>
  </w:style>
  <w:style w:type="character" w:customStyle="1" w:styleId="100">
    <w:name w:val="Заголовок 1 Знак"/>
    <w:basedOn w:val="11"/>
    <w:link w:val="2"/>
    <w:qFormat/>
    <w:uiPriority w:val="9"/>
    <w:rPr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101">
    <w:name w:val="Название Знак"/>
    <w:basedOn w:val="11"/>
    <w:link w:val="24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102">
    <w:name w:val="Заголовок 2 Знак"/>
    <w:basedOn w:val="11"/>
    <w:link w:val="3"/>
    <w:qFormat/>
    <w:uiPriority w:val="9"/>
    <w:rPr>
      <w:b/>
      <w:sz w:val="24"/>
      <w:szCs w:val="24"/>
      <w:lang w:val="ru-RU" w:eastAsia="ar-SA"/>
    </w:rPr>
  </w:style>
  <w:style w:type="character" w:customStyle="1" w:styleId="103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104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1E4D78" w:themeColor="accent1" w:themeShade="7F"/>
      <w:sz w:val="28"/>
      <w:szCs w:val="24"/>
      <w:lang w:val="ru-RU" w:eastAsia="ar-SA"/>
    </w:rPr>
  </w:style>
  <w:style w:type="character" w:customStyle="1" w:styleId="105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1E4D78" w:themeColor="accent1" w:themeShade="7F"/>
      <w:sz w:val="28"/>
      <w:szCs w:val="24"/>
      <w:lang w:val="ru-RU" w:eastAsia="ar-SA"/>
    </w:rPr>
  </w:style>
  <w:style w:type="character" w:customStyle="1" w:styleId="106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8"/>
      <w:szCs w:val="24"/>
      <w:lang w:val="ru-RU" w:eastAsia="ar-SA"/>
    </w:rPr>
  </w:style>
  <w:style w:type="character" w:customStyle="1" w:styleId="107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3F3F3F" w:themeColor="text1" w:themeTint="BF"/>
      <w:lang w:val="ru-RU" w:eastAsia="ar-SA"/>
    </w:rPr>
  </w:style>
  <w:style w:type="character" w:customStyle="1" w:styleId="108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lang w:val="ru-RU" w:eastAsia="ar-SA"/>
    </w:rPr>
  </w:style>
  <w:style w:type="paragraph" w:customStyle="1" w:styleId="109">
    <w:name w:val="Заголовок таблицы1"/>
    <w:basedOn w:val="1"/>
    <w:link w:val="110"/>
    <w:qFormat/>
    <w:uiPriority w:val="0"/>
    <w:rPr>
      <w:b/>
    </w:rPr>
  </w:style>
  <w:style w:type="character" w:customStyle="1" w:styleId="110">
    <w:name w:val="Заголовок таблицы1 Знак"/>
    <w:basedOn w:val="11"/>
    <w:link w:val="109"/>
    <w:uiPriority w:val="0"/>
    <w:rPr>
      <w:b/>
      <w:sz w:val="24"/>
      <w:szCs w:val="24"/>
      <w:lang w:val="ru-RU" w:eastAsia="ar-SA"/>
    </w:rPr>
  </w:style>
  <w:style w:type="paragraph" w:customStyle="1" w:styleId="111">
    <w:name w:val="Тест таблицы"/>
    <w:basedOn w:val="1"/>
    <w:link w:val="112"/>
    <w:qFormat/>
    <w:uiPriority w:val="0"/>
  </w:style>
  <w:style w:type="character" w:customStyle="1" w:styleId="112">
    <w:name w:val="Тест таблицы Знак"/>
    <w:basedOn w:val="11"/>
    <w:link w:val="111"/>
    <w:uiPriority w:val="0"/>
    <w:rPr>
      <w:sz w:val="24"/>
      <w:szCs w:val="24"/>
      <w:lang w:val="ru-RU" w:eastAsia="ar-SA"/>
    </w:rPr>
  </w:style>
  <w:style w:type="paragraph" w:customStyle="1" w:styleId="113">
    <w:name w:val="Абзац текста"/>
    <w:basedOn w:val="1"/>
    <w:link w:val="114"/>
    <w:qFormat/>
    <w:uiPriority w:val="0"/>
    <w:pPr>
      <w:spacing w:after="100"/>
      <w:ind w:firstLine="567"/>
    </w:pPr>
    <w:rPr>
      <w:szCs w:val="28"/>
    </w:rPr>
  </w:style>
  <w:style w:type="character" w:customStyle="1" w:styleId="114">
    <w:name w:val="Абзац текста Знак"/>
    <w:basedOn w:val="11"/>
    <w:link w:val="113"/>
    <w:qFormat/>
    <w:uiPriority w:val="0"/>
    <w:rPr>
      <w:sz w:val="24"/>
      <w:szCs w:val="28"/>
      <w:lang w:val="ru-RU" w:eastAsia="ar-SA"/>
    </w:rPr>
  </w:style>
  <w:style w:type="character" w:customStyle="1" w:styleId="115">
    <w:name w:val="Стандартный HTML Знак"/>
    <w:basedOn w:val="11"/>
    <w:link w:val="28"/>
    <w:qFormat/>
    <w:uiPriority w:val="99"/>
    <w:rPr>
      <w:rFonts w:ascii="Courier New" w:hAnsi="Courier New" w:cs="Courier New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3F56833-F167-4B8F-B645-41B65121C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1856</Words>
  <Characters>10585</Characters>
  <Lines>88</Lines>
  <Paragraphs>24</Paragraphs>
  <TotalTime>932</TotalTime>
  <ScaleCrop>false</ScaleCrop>
  <LinksUpToDate>false</LinksUpToDate>
  <CharactersWithSpaces>12417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2017-04-14T09:55:00Z</dcterms:created>
  <dc:creator>admin</dc:creator>
  <cp:lastModifiedBy>Татьяна</cp:lastModifiedBy>
  <cp:lastPrinted>2016-02-16T07:09:00Z</cp:lastPrinted>
  <dcterms:modified xsi:type="dcterms:W3CDTF">2024-06-07T11:53:10Z</dcterms:modified>
  <dc:title>Приложение № 2</dc:title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E5B194F4423E478CBC9CE7A0755D951A_13</vt:lpwstr>
  </property>
</Properties>
</file>