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77" w:rsidRDefault="00034877" w:rsidP="00034877">
      <w:pPr>
        <w:pStyle w:val="1"/>
        <w:rPr>
          <w:rStyle w:val="12"/>
          <w:b w:val="0"/>
          <w:color w:val="00000A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>
        <w:rPr>
          <w:rStyle w:val="12"/>
          <w:color w:val="00000A"/>
        </w:rPr>
        <w:t>X.</w:t>
      </w:r>
      <w:r>
        <w:rPr>
          <w:rStyle w:val="12"/>
          <w:color w:val="00000A"/>
        </w:rPr>
        <w:tab/>
      </w:r>
      <w:r>
        <w:rPr>
          <w:color w:val="00000A"/>
        </w:rPr>
        <w:t>ТЕХНИЧЕСКАЯ</w:t>
      </w:r>
      <w:r>
        <w:rPr>
          <w:rStyle w:val="12"/>
          <w:color w:val="00000A"/>
        </w:rPr>
        <w:t xml:space="preserve"> ЧАСТЬ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Style w:val="12"/>
          <w:color w:val="00000A"/>
        </w:rPr>
        <w:t>КОНКУРСНОЙ ДОКУМЕНТАЦИИ</w:t>
      </w:r>
    </w:p>
    <w:p w:rsidR="00034877" w:rsidRDefault="000348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5AB8" w:rsidRDefault="00877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495AB8" w:rsidRDefault="00495A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5AB8" w:rsidRPr="006F054C" w:rsidRDefault="006F0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54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77591" w:rsidRPr="006F054C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казание услуг по разработке </w:t>
      </w:r>
      <w:proofErr w:type="gramStart"/>
      <w:r w:rsidR="00765371" w:rsidRPr="006F054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концепций развития территорий парков культуры</w:t>
      </w:r>
      <w:proofErr w:type="gramEnd"/>
      <w:r w:rsidR="00765371" w:rsidRPr="006F054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и отдыха «Липовая аллея» </w:t>
      </w:r>
      <w:r w:rsidR="00765371" w:rsidRPr="006F054C">
        <w:rPr>
          <w:rFonts w:ascii="Times New Roman" w:hAnsi="Times New Roman" w:cs="Times New Roman"/>
          <w:b/>
          <w:sz w:val="24"/>
          <w:szCs w:val="24"/>
        </w:rPr>
        <w:t xml:space="preserve">г. Электроугли и «Бабкина дача»  г. Старая </w:t>
      </w:r>
      <w:proofErr w:type="spellStart"/>
      <w:r w:rsidR="00765371" w:rsidRPr="006F054C">
        <w:rPr>
          <w:rFonts w:ascii="Times New Roman" w:hAnsi="Times New Roman" w:cs="Times New Roman"/>
          <w:b/>
          <w:sz w:val="24"/>
          <w:szCs w:val="24"/>
        </w:rPr>
        <w:t>Купавна</w:t>
      </w:r>
      <w:proofErr w:type="spellEnd"/>
      <w:r w:rsidR="00765371" w:rsidRPr="006F054C">
        <w:rPr>
          <w:rFonts w:ascii="Times New Roman" w:hAnsi="Times New Roman" w:cs="Times New Roman"/>
          <w:b/>
          <w:sz w:val="24"/>
          <w:szCs w:val="24"/>
        </w:rPr>
        <w:t xml:space="preserve"> Богородского городского округа</w:t>
      </w:r>
      <w:r w:rsidRPr="006F054C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6F054C" w:rsidRPr="006F054C" w:rsidRDefault="006F05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8" w:type="dxa"/>
        <w:tblInd w:w="110" w:type="dxa"/>
        <w:tblLook w:val="0000" w:firstRow="0" w:lastRow="0" w:firstColumn="0" w:lastColumn="0" w:noHBand="0" w:noVBand="0"/>
      </w:tblPr>
      <w:tblGrid>
        <w:gridCol w:w="532"/>
        <w:gridCol w:w="2168"/>
        <w:gridCol w:w="7758"/>
      </w:tblGrid>
      <w:tr w:rsidR="00495AB8" w:rsidRPr="006F054C">
        <w:trPr>
          <w:trHeight w:val="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after="120" w:line="288" w:lineRule="auto"/>
              <w:ind w:firstLine="2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uppressAutoHyphens w:val="0"/>
              <w:spacing w:before="120"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оказываемых услуг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tabs>
                <w:tab w:val="left" w:pos="7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</w:t>
            </w:r>
            <w:r w:rsidRPr="006F0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казание услуг </w:t>
            </w:r>
            <w:r w:rsidR="00783417" w:rsidRPr="006F0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разработке </w:t>
            </w:r>
            <w:proofErr w:type="gramStart"/>
            <w:r w:rsidR="00783417"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концепций развития территорий парков культуры</w:t>
            </w:r>
            <w:proofErr w:type="gramEnd"/>
            <w:r w:rsidR="00783417"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 отдыха «Липовая аллея» </w:t>
            </w:r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г. Электроугли и «Бабкина дача»  г. Старая </w:t>
            </w:r>
            <w:proofErr w:type="spellStart"/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>Купавна</w:t>
            </w:r>
            <w:proofErr w:type="spellEnd"/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Богородского городского округа</w:t>
            </w:r>
          </w:p>
          <w:p w:rsidR="00495AB8" w:rsidRPr="006F054C" w:rsidRDefault="00495A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5AB8" w:rsidRPr="006F054C" w:rsidRDefault="00877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71.11.31.000 – Услуги по территориальному планированию и планировке территории городских поселений, округов.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AB8" w:rsidRPr="006F054C" w:rsidRDefault="00877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КОЗ 02.32.01.01.02 – </w:t>
            </w:r>
            <w:r w:rsidRPr="006F0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02.32.03.10 - Подготовка архитектурно-градостроительных концепций с предварительной проработкой территории на земельные участки.</w:t>
            </w:r>
          </w:p>
          <w:p w:rsidR="00495AB8" w:rsidRPr="006F054C" w:rsidRDefault="00877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В цену </w:t>
            </w:r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включены все расходы Исполнителя на </w:t>
            </w:r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</w:t>
            </w:r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, в том числе транспортные, затраты на используемое оборудование, расходы на вознаграждение Исполнителя за отчуждение Заказчику исключительных прав на результаты интеллектуальной деятельности, созданные в ходе оказания услуг при разработке проектной и рабочей документации, затраты на страхование, уплату налогов, сборов и других обязательных платежей.</w:t>
            </w:r>
            <w:proofErr w:type="gramEnd"/>
          </w:p>
          <w:p w:rsidR="00495AB8" w:rsidRPr="006F054C" w:rsidRDefault="00877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В цену </w:t>
            </w:r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входит оплата необходимых согласований Проектной документации, взимаемая уполномоченными государственными органами в установленном законодательством Российской Федерации порядке, плата за проведение государственной экспертизы.</w:t>
            </w:r>
          </w:p>
          <w:p w:rsidR="00495AB8" w:rsidRPr="006F054C" w:rsidRDefault="00877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Неучтенные затраты Исполнителя по </w:t>
            </w:r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связанные с исполнением </w:t>
            </w:r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а, но не включенные в предлагаемую цену </w:t>
            </w:r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, не подлежат оплате Заказчиком.</w:t>
            </w:r>
          </w:p>
          <w:p w:rsidR="00495AB8" w:rsidRPr="006F054C" w:rsidRDefault="00877591" w:rsidP="0078341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несет ответственность за </w:t>
            </w:r>
            <w:proofErr w:type="spell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несохранность</w:t>
            </w:r>
            <w:proofErr w:type="spell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предоставленного Заказчиком имущества, оказавшегося во владении Исполнителя в связи с исполнением </w:t>
            </w:r>
            <w:r w:rsidR="00783417" w:rsidRPr="006F054C">
              <w:rPr>
                <w:rFonts w:ascii="Times New Roman" w:hAnsi="Times New Roman" w:cs="Times New Roman"/>
                <w:sz w:val="24"/>
                <w:szCs w:val="24"/>
              </w:rPr>
              <w:t>договора.</w:t>
            </w:r>
          </w:p>
        </w:tc>
      </w:tr>
      <w:tr w:rsidR="00246523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23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23" w:rsidRPr="006F054C" w:rsidRDefault="00817EA7">
            <w:pPr>
              <w:suppressAutoHyphens w:val="0"/>
              <w:spacing w:before="120"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Основание для оказания услуг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A7" w:rsidRPr="006F054C" w:rsidRDefault="00817EA7" w:rsidP="00817EA7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- Постановление Правительства Московской области от 23 декабря 2013 года N 1098/55</w:t>
            </w:r>
            <w:proofErr w:type="gramStart"/>
            <w:r w:rsidRPr="006F05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6F05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б утверждении "Указания. Региональный парков</w:t>
            </w:r>
            <w:r w:rsidR="00A806BF" w:rsidRPr="006F05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ый стандарт Московской области" (в соответствии с критериями, характеризующими соответствие парка РПС); </w:t>
            </w:r>
          </w:p>
          <w:p w:rsidR="00246523" w:rsidRPr="006F054C" w:rsidRDefault="00817EA7" w:rsidP="00817EA7">
            <w:pPr>
              <w:tabs>
                <w:tab w:val="left" w:pos="7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- Настоящее Техническое задание.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Состав оказываемых услуг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94" w:rsidRPr="006F054C" w:rsidRDefault="00743994" w:rsidP="0074399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Углубленный анализ территории.</w:t>
            </w:r>
          </w:p>
          <w:p w:rsidR="00743994" w:rsidRPr="006F054C" w:rsidRDefault="005C5A46" w:rsidP="0074399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3994"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онцепция 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развития (</w:t>
            </w:r>
            <w:r w:rsidR="00743994" w:rsidRPr="006F054C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3994"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парков </w:t>
            </w:r>
          </w:p>
          <w:p w:rsidR="00AB12B4" w:rsidRPr="006F054C" w:rsidRDefault="00743994" w:rsidP="00AB12B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Получение согласования Архитектурной концепции Экспертным советом Министерства бла</w:t>
            </w:r>
            <w:r w:rsidR="00AB12B4"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гоустройства Московской области, согласно п. 6 ПОЛОЖЕНИЯ о рабочей группе для рассмотрения </w:t>
            </w:r>
            <w:r w:rsidR="00AB12B4" w:rsidRPr="006F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</w:t>
            </w:r>
          </w:p>
          <w:p w:rsidR="00743994" w:rsidRPr="006F054C" w:rsidRDefault="00AB12B4" w:rsidP="00AB12B4">
            <w:pPr>
              <w:spacing w:after="0"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подготовки заключений по эскизным </w:t>
            </w:r>
            <w:proofErr w:type="spell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предпроектным</w:t>
            </w:r>
            <w:proofErr w:type="spell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документациям, концепциям и проектам благоустройства общественных территорий Московской области, необходимых для реализации государственных программ Московской области (Приложение к техническому заданию)</w:t>
            </w:r>
          </w:p>
          <w:p w:rsidR="00495AB8" w:rsidRPr="006F054C" w:rsidRDefault="00495AB8" w:rsidP="00AB12B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Границы проектирования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 w:rsidP="00B058B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разработки концепции </w:t>
            </w:r>
            <w:r w:rsidR="00B058BB" w:rsidRPr="006F054C">
              <w:rPr>
                <w:rFonts w:ascii="Times New Roman" w:hAnsi="Times New Roman" w:cs="Times New Roman"/>
                <w:sz w:val="24"/>
                <w:szCs w:val="24"/>
              </w:rPr>
              <w:t>развития (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B058BB" w:rsidRPr="006F0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6514A5" w:rsidRPr="006F05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га. Границы могут уточняться в ходе разработки концепции, но не более 10% от площади рассматриваемой территории, указанной в данном Задании.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Заказчик предоставляет следующие исходные данные на выполнение услуг на бумажном носителе и в электронном формате:</w:t>
            </w:r>
          </w:p>
          <w:p w:rsidR="00495AB8" w:rsidRPr="006F054C" w:rsidRDefault="005C5A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591" w:rsidRPr="006F054C">
              <w:rPr>
                <w:rFonts w:ascii="Times New Roman" w:hAnsi="Times New Roman" w:cs="Times New Roman"/>
                <w:sz w:val="24"/>
                <w:szCs w:val="24"/>
              </w:rPr>
              <w:t>. Информацию о существующей организации движения транспорта в границах территории разработки проектно-сметной документации.</w:t>
            </w:r>
          </w:p>
          <w:p w:rsidR="00495AB8" w:rsidRPr="006F054C" w:rsidRDefault="005C5A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77591"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 предоставляет ранее разработанные архитектурно-планировочные концепции на прилегающие территории (при наличии);</w:t>
            </w:r>
          </w:p>
          <w:p w:rsidR="00495AB8" w:rsidRPr="006F054C" w:rsidRDefault="005C5A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7591" w:rsidRPr="006F054C">
              <w:rPr>
                <w:rFonts w:ascii="Times New Roman" w:hAnsi="Times New Roman" w:cs="Times New Roman"/>
                <w:sz w:val="24"/>
                <w:szCs w:val="24"/>
              </w:rPr>
              <w:t>Ограничения, действующие на проектируемой территории (охранные статусы, предметы охраны).</w:t>
            </w:r>
          </w:p>
          <w:p w:rsidR="005C5A46" w:rsidRPr="006F054C" w:rsidRDefault="005C5A46" w:rsidP="005C5A46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Информация об ограничениях, действующих на проектируемой те</w:t>
            </w: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ритории (охранные статусы, предметы охраны);</w:t>
            </w:r>
          </w:p>
          <w:p w:rsidR="005C5A46" w:rsidRPr="006F054C" w:rsidRDefault="005C5A46" w:rsidP="005C5A46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Информация о существующих на территории проектирования зданиях и сооружениях (кадастровые планы, планы БТИ, ранее разработанная проектная документация (при наличии);</w:t>
            </w:r>
          </w:p>
          <w:p w:rsidR="005C5A46" w:rsidRPr="006F054C" w:rsidRDefault="005C5A46" w:rsidP="00A806B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Утвержденную Схему </w:t>
            </w:r>
            <w:proofErr w:type="gramStart"/>
            <w:r w:rsidRPr="006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 разработки концепции развития парка</w:t>
            </w:r>
            <w:proofErr w:type="gramEnd"/>
            <w:r w:rsidRPr="006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Цели и задачи оказываемых услуг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B8" w:rsidRPr="006F054C" w:rsidRDefault="005C5A46" w:rsidP="005C5A46">
            <w:pPr>
              <w:tabs>
                <w:tab w:val="left" w:pos="318"/>
              </w:tabs>
              <w:spacing w:before="120"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591" w:rsidRPr="006F054C">
              <w:rPr>
                <w:rFonts w:ascii="Times New Roman" w:hAnsi="Times New Roman" w:cs="Times New Roman"/>
                <w:sz w:val="24"/>
                <w:szCs w:val="24"/>
              </w:rPr>
              <w:t>обеспечение привлекательных условий пребывания для гостей и жителей города в любое время года, включая зимний период;</w:t>
            </w:r>
          </w:p>
          <w:p w:rsidR="00495AB8" w:rsidRPr="006F054C" w:rsidRDefault="005C5A46" w:rsidP="005C5A46">
            <w:pPr>
              <w:tabs>
                <w:tab w:val="left" w:pos="318"/>
              </w:tabs>
              <w:spacing w:before="120" w:after="0" w:line="288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591" w:rsidRPr="006F054C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дополнительной социальной и досуговой инфраструктуры в шаговой доступности.</w:t>
            </w:r>
          </w:p>
          <w:p w:rsidR="00BD6F96" w:rsidRPr="006F054C" w:rsidRDefault="005C5A46" w:rsidP="00BD6F96">
            <w:pPr>
              <w:tabs>
                <w:tab w:val="left" w:pos="318"/>
              </w:tabs>
              <w:spacing w:before="120"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 в</w:t>
            </w:r>
            <w:r w:rsidR="00BD6F96" w:rsidRPr="006F054C">
              <w:rPr>
                <w:rFonts w:ascii="Times New Roman" w:hAnsi="Times New Roman" w:cs="Times New Roman"/>
                <w:sz w:val="24"/>
                <w:szCs w:val="24"/>
              </w:rPr>
              <w:t>ыявление ключевых потребностей жителей и гостей поселка с целью развития Парка</w:t>
            </w:r>
            <w:proofErr w:type="gramStart"/>
            <w:r w:rsidR="00BD6F96"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D6F96" w:rsidRPr="006F054C" w:rsidRDefault="005C5A46" w:rsidP="00BD6F96">
            <w:pPr>
              <w:tabs>
                <w:tab w:val="left" w:pos="318"/>
              </w:tabs>
              <w:spacing w:before="120"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BD6F96" w:rsidRPr="006F054C">
              <w:rPr>
                <w:rFonts w:ascii="Times New Roman" w:hAnsi="Times New Roman" w:cs="Times New Roman"/>
                <w:sz w:val="24"/>
                <w:szCs w:val="24"/>
              </w:rPr>
              <w:t>ормирование современного архитектурно-художественного облика территорий благоустройства.</w:t>
            </w:r>
          </w:p>
          <w:p w:rsidR="00BD6F96" w:rsidRPr="006F054C" w:rsidRDefault="005C5A46" w:rsidP="00BD6F96">
            <w:pPr>
              <w:tabs>
                <w:tab w:val="left" w:pos="318"/>
              </w:tabs>
              <w:spacing w:before="120"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BD6F96" w:rsidRPr="006F054C">
              <w:rPr>
                <w:rFonts w:ascii="Times New Roman" w:hAnsi="Times New Roman" w:cs="Times New Roman"/>
                <w:sz w:val="24"/>
                <w:szCs w:val="24"/>
              </w:rPr>
              <w:t>оздание комфортной, визуально приятной и безопасной городской среды в сложившейся зоне благоустройства.</w:t>
            </w:r>
          </w:p>
          <w:p w:rsidR="00BD6F96" w:rsidRPr="006F054C" w:rsidRDefault="005C5A46" w:rsidP="00BD6F96">
            <w:pPr>
              <w:tabs>
                <w:tab w:val="left" w:pos="318"/>
              </w:tabs>
              <w:spacing w:before="120"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D6F96" w:rsidRPr="006F054C">
              <w:rPr>
                <w:rFonts w:ascii="Times New Roman" w:hAnsi="Times New Roman" w:cs="Times New Roman"/>
                <w:sz w:val="24"/>
                <w:szCs w:val="24"/>
              </w:rPr>
              <w:t>азвитие дополнительной социальной и досуговой инфраструктуры вдоль объекта проектирования и шаговой доступности.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33D0C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Основные требования к проектным решениям.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0C" w:rsidRPr="006F054C" w:rsidRDefault="00633D0C" w:rsidP="00633D0C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417" w:hanging="417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F054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При разработке архитектурно-</w:t>
            </w:r>
            <w:proofErr w:type="gramStart"/>
            <w:r w:rsidRPr="006F054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планировочных решений</w:t>
            </w:r>
            <w:proofErr w:type="gramEnd"/>
            <w:r w:rsidRPr="006F054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 xml:space="preserve"> необх</w:t>
            </w:r>
            <w:r w:rsidRPr="006F054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о</w:t>
            </w:r>
            <w:r w:rsidRPr="006F054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димо</w:t>
            </w:r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: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учесть сложившуюся планировочную и транспортную схему улиц, существующие объекты и элементы благоустройства, с</w:t>
            </w: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зданные «народные» пешеходные тропы и проходы;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создать интуитивно и визуально понятную навигацию для передвижения пешеходов;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</w:t>
            </w:r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работать возможность организации велодорожек;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проработать возможность организации лыжной трассы;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твёрдые виды покрытия (плиточное мощение асфальт);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общественных пространств лесопарка;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систему навигации (пространственных ориентиров);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систему уличного и архитектурно-декоративного освещения;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 некапитальных объектов;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 малых архитектурных форм и городской мебели;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для обеспечения беспрепятственного доступа мал</w:t>
            </w: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мобильных групп населения.</w:t>
            </w:r>
          </w:p>
          <w:p w:rsidR="00633D0C" w:rsidRPr="006F054C" w:rsidRDefault="00633D0C" w:rsidP="00633D0C">
            <w:p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33D0C" w:rsidRPr="006F054C" w:rsidRDefault="00633D0C" w:rsidP="00633D0C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417" w:hanging="417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6F054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Рекомендуемый перечень элементов и объектов благоустройства на территории лесопарка, включает: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элементы сопряжения поверхностей;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озеленение: газоны, кустарник, деревья;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цветочное оформление;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городскую мебель: скамьи, урны, контейнеры для мусора и </w:t>
            </w:r>
            <w:proofErr w:type="gramStart"/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ограждение: пешеходное, автомобильное (при необходимости);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оборудование площадок отдыха;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нестационарные (некапитальные) объекты;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освещение: утилитарное, архитектурное, ландшафтное; 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навигационные и информационные конструкции;</w:t>
            </w:r>
          </w:p>
          <w:p w:rsidR="00633D0C" w:rsidRPr="006F054C" w:rsidRDefault="00633D0C" w:rsidP="00633D0C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7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велопарковки</w:t>
            </w:r>
            <w:proofErr w:type="spellEnd"/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(при наличии </w:t>
            </w:r>
            <w:proofErr w:type="spellStart"/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веломаршрута</w:t>
            </w:r>
            <w:proofErr w:type="spellEnd"/>
            <w:r w:rsidRPr="006F0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495AB8" w:rsidRPr="006F054C" w:rsidRDefault="00495A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Требования к составу документации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pStyle w:val="ae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Архитектурно-планировочная концепция:</w:t>
            </w:r>
          </w:p>
          <w:p w:rsidR="00495AB8" w:rsidRPr="006F054C" w:rsidRDefault="00495AB8">
            <w:pPr>
              <w:pStyle w:val="ae"/>
              <w:spacing w:after="0" w:line="276" w:lineRule="auto"/>
              <w:ind w:left="10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краткая пояснительная записка;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историческая справка;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существующего положения;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расположение объекта в городе;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схема существующих пешеходных маршрутов;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схема генерального плана;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генеральный план благоустройства;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схема покрытий;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схема освещения;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схема озеленения, принципиальные решения и перечень планируемых к высадке зеленых насаждений;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малые архитектурные формы;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</w:t>
            </w:r>
            <w:proofErr w:type="gram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и видовых зон;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типовые схемы раскладки и рисунка мощения (при наличии);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</w:t>
            </w:r>
            <w:proofErr w:type="gram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по наружному и архитектурно-художественному освещению;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визуализации основных и видовых зон;</w:t>
            </w:r>
          </w:p>
          <w:p w:rsidR="00495AB8" w:rsidRPr="006F054C" w:rsidRDefault="00877591">
            <w:pPr>
              <w:pStyle w:val="ae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дополнительные материалы (при необходимости).</w:t>
            </w:r>
          </w:p>
          <w:p w:rsidR="00495AB8" w:rsidRPr="006F054C" w:rsidRDefault="00495AB8">
            <w:pPr>
              <w:spacing w:after="0" w:line="240" w:lineRule="auto"/>
              <w:ind w:left="6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Требования к проектным решениям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1. Учесть сложившуюся планировочную систему территорий, существующие объекты инженерно-коммунального хозяйства, элементы благоустройства, «народные» пешеходные тропы;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2. Для устройства </w:t>
            </w:r>
            <w:proofErr w:type="spell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пешеходно-тропиночной</w:t>
            </w:r>
            <w:proofErr w:type="spell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сети по возможности применять твердые виды покрытий, организовать устройство «мягкого» покрытия дорожек и троп в лесной зоне;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Применяемые виды и материалы покрытий должны соответствовать техническим требованиям к содержанию и эксплуатации городских территорий;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4. Выбрать единое стилистическое решение по благоустройству;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5. Разработать систему навигации для удобства передвижения пешеходов (при необходимости);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6. Предусмотреть систему наружного освещения пешеходных зон и архитектурно-художественную подсветку видовых зон;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7. Предусмотреть размещение малых архитектурных форм и городской мебели;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8. Провести анализ исходно-разрешительной документации на предмет уточнения возможности размещения на территории объектов благоустройства, инженерных сооружений, линейных объектов;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9. Акцентировать внимание на развитие общественных пространств;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10. Исключить узкие участки газонов (менее 3 метров);</w:t>
            </w:r>
          </w:p>
          <w:p w:rsidR="00495AB8" w:rsidRPr="006F054C" w:rsidRDefault="00877591">
            <w:pPr>
              <w:pStyle w:val="ae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Архитектурное решение</w:t>
            </w:r>
            <w:proofErr w:type="gram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вертикальной планировки должно быть единым в границах объекта комплексного благоустройства, соответствовать характеру архитектурного окружения.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Законодательная, нормативная и правовая база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архитектурно-планировочной концепции должны соблюдаться требования законодательства Российской Федерации, Московской области и нормативных правовых актов администрации, в </w:t>
            </w:r>
            <w:proofErr w:type="spell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495AB8" w:rsidRPr="006F054C" w:rsidRDefault="00877591">
            <w:pPr>
              <w:pStyle w:val="ae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10.01.2002 г. № 7-ФЗ «Об охране окружающей среды»;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22.07.2008 г. № 123-ФЗ «Технический регламент о требованиях пожарной безопасности»;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СП 42.13330.2011 «СНиП 2.07.01-89*. «Градостроительство. Планировка и застройка городских и сельских поселений»;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СП 34.13330.2012 «СНиП 2.05.02-85*. «Автомобильные дороги»;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СП 140.13330.2012 «Городская среда. Правила проектирования для маломобильных групп населения»;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СП 52.13330.2011 «СНиП 23-05-95* "Естественное и искусственное освещение»;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ГОСТ 21.508-93 «Правила выполнения рабочей документации генеральных планов предприятий, сооружений и жилищно-гражданских объектов». Система проектной документации (Межведомственный стандарт);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Закон Московской области от 30.12.2014 г. № 191/2014-ОЗ «О благоустройстве в Московской области»;</w:t>
            </w:r>
          </w:p>
          <w:p w:rsidR="00495AB8" w:rsidRPr="006F054C" w:rsidRDefault="00877591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right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«Схема территориального планирования Московской области – основные положения градостроительного развития», утверждённая Постановлением Правительства Московской 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от 11.07.2007 г. № 517/23.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17EA7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Состав оказываемых услуг, этапы и сроки.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6" w:rsidRPr="006F054C" w:rsidRDefault="00BD6F96" w:rsidP="00BD6F96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Исполнитель оказывает Услуги в 1 этап:</w:t>
            </w:r>
          </w:p>
          <w:p w:rsidR="00BD6F96" w:rsidRPr="006F054C" w:rsidRDefault="00BD6F96" w:rsidP="00BD6F96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• Проведение подготовительных работ по информированию жителей города </w:t>
            </w:r>
            <w:r w:rsidR="00FF3F4E"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Богородского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городского  округа Московской области предстоящем благоустройстве по методике Минстроя (01_РЕКОМЕНДАЦИИ ПО ОРГАНИЗАЦИИ ОБЩЕСТВЕННОГО УЧАСТИЯ - МИНСТРОЙ РФ) </w:t>
            </w:r>
          </w:p>
          <w:p w:rsidR="00BD6F96" w:rsidRPr="006F054C" w:rsidRDefault="00BD6F96" w:rsidP="00BD6F96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•Провести вовлечение жителей разных категорий в процесс обсуждения благоустройства территории.</w:t>
            </w:r>
          </w:p>
          <w:p w:rsidR="00BD6F96" w:rsidRPr="006F054C" w:rsidRDefault="00BD6F96" w:rsidP="00BD6F96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•Подготовить и утвердить с МАУ «Объединенная дирекция парков»  медиа план, план мероприятий, проводимых с жителями</w:t>
            </w:r>
            <w:r w:rsidRPr="006F0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Богородского городского округа.</w:t>
            </w:r>
          </w:p>
          <w:p w:rsidR="00BD6F96" w:rsidRPr="006F054C" w:rsidRDefault="00BD6F96" w:rsidP="00BD6F96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•Провести соучаствующее проектирование с жителями</w:t>
            </w:r>
            <w:proofErr w:type="gramStart"/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6F0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proofErr w:type="gramEnd"/>
            <w:r w:rsidRPr="006F0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Электроугли, г. Старая </w:t>
            </w:r>
            <w:proofErr w:type="spellStart"/>
            <w:r w:rsidRPr="006F0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Купавна</w:t>
            </w:r>
            <w:proofErr w:type="spellEnd"/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BD6F96" w:rsidRPr="006F054C" w:rsidRDefault="00BD6F96" w:rsidP="00BD6F96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• На основе пожеланий жителей города разработать концепцию развития парка «Липовая аллея» г. Электроугли, парка «Бабкина дача» г. Старая </w:t>
            </w:r>
            <w:proofErr w:type="spellStart"/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Купавна</w:t>
            </w:r>
            <w:proofErr w:type="spellEnd"/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. </w:t>
            </w:r>
          </w:p>
          <w:p w:rsidR="00BD6F96" w:rsidRPr="006F054C" w:rsidRDefault="00BD6F96" w:rsidP="00BD6F96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• Провести инвентаризацию объектов благоустройства. </w:t>
            </w:r>
            <w:proofErr w:type="spellStart"/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Фотофик</w:t>
            </w:r>
            <w:r w:rsidR="00FF3F4E"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сировать</w:t>
            </w:r>
            <w:proofErr w:type="spellEnd"/>
            <w:r w:rsidR="00FF3F4E"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зону благоустройства.</w:t>
            </w:r>
          </w:p>
          <w:p w:rsidR="00BD6F96" w:rsidRPr="006F054C" w:rsidRDefault="00BD6F96" w:rsidP="00BD6F96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• Подготовка доклада и участие в рассмотрении проектов, а также пол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чение </w:t>
            </w:r>
            <w:r w:rsidR="00BC1B73"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согласования (с приложениями 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выписки из протоколов</w:t>
            </w:r>
            <w:r w:rsidR="00BC1B73"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)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конце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ции в Экспертном совете при Министерстве благоустройства Моско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</w:t>
            </w: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ской области.</w:t>
            </w:r>
          </w:p>
          <w:p w:rsidR="00495AB8" w:rsidRPr="006F054C" w:rsidRDefault="008775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5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оказания услуг:</w:t>
            </w:r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даты заключения </w:t>
            </w:r>
            <w:r w:rsidR="00AB12B4"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Договора до 1</w:t>
            </w:r>
            <w:r w:rsidR="00B029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14" w:name="_GoBack"/>
            <w:bookmarkEnd w:id="14"/>
            <w:r w:rsidR="00AB12B4"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 2021г.</w:t>
            </w:r>
          </w:p>
          <w:p w:rsidR="00495AB8" w:rsidRPr="006F054C" w:rsidRDefault="008775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оказанных услуг производится на основании предъявленного Исполнителем Заказчику счета после подписания Заказчиком д</w:t>
            </w:r>
            <w:bookmarkStart w:id="15" w:name="__DdeLink__429_2584500869"/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окумента приемки</w:t>
            </w:r>
            <w:bookmarkEnd w:id="15"/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путем безналичного перечисления на расчетный счет Исполнителя денежных сре</w:t>
            </w:r>
            <w:proofErr w:type="gramStart"/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в ср</w:t>
            </w:r>
            <w:proofErr w:type="gramEnd"/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ок, не превышающий </w:t>
            </w:r>
            <w:r w:rsidR="00AB12B4"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B12B4"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пятнадцати</w:t>
            </w:r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B12B4"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Pr="006F0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дней со дня подписания Заказчиком Документа приемки.</w:t>
            </w:r>
          </w:p>
          <w:p w:rsidR="00495AB8" w:rsidRPr="006F054C" w:rsidRDefault="00877591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F054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Получение всех необходимых заключений, экспертиз, согласований проводится за счет Исполнителя.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7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495AB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AB8" w:rsidRPr="006F054C" w:rsidRDefault="00AB12B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Г. Электроугли парк «Липовая аллея»</w:t>
            </w:r>
          </w:p>
          <w:p w:rsidR="00AB12B4" w:rsidRPr="006F054C" w:rsidRDefault="00AB12B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Старая </w:t>
            </w:r>
            <w:proofErr w:type="spellStart"/>
            <w:r w:rsidRPr="006F054C">
              <w:rPr>
                <w:rFonts w:ascii="Times New Roman" w:eastAsia="Calibri" w:hAnsi="Times New Roman" w:cs="Times New Roman"/>
                <w:sz w:val="24"/>
                <w:szCs w:val="24"/>
              </w:rPr>
              <w:t>Купавна</w:t>
            </w:r>
            <w:proofErr w:type="spellEnd"/>
            <w:r w:rsidRPr="006F0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парк «Бабкина дача»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7591" w:rsidRPr="006F0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Согласование архитектурно-планировочной концепции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6" w:rsidRPr="006F054C" w:rsidRDefault="00BD6F96" w:rsidP="00BD6F96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 Провести общественные обсуждения проекта благоустройства</w:t>
            </w:r>
          </w:p>
          <w:p w:rsidR="00BD6F96" w:rsidRPr="006F054C" w:rsidRDefault="00BD6F96" w:rsidP="00BD6F96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 Согласовать концепцию с МАУ «Объединенная дирекция парков»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F96" w:rsidRPr="006F054C" w:rsidRDefault="00BD6F96" w:rsidP="00BD6F96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- Получить положительное заключение на концепцию развития в Министерстве благоустройства Московской области.</w:t>
            </w:r>
          </w:p>
          <w:p w:rsidR="00BD6F96" w:rsidRPr="006F054C" w:rsidRDefault="00BD6F96" w:rsidP="00BD6F96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 w:rsidP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4A5" w:rsidRPr="006F0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Формат предоставляемых материалов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C6" w:rsidRPr="006F054C" w:rsidRDefault="008171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Концептуальные решения передаются Заказчику в виде Альбома (Архитектурной концепции) формата А-3 в 2-х (двух) экземплярах и в 1 (одном) экземпляре на электронном носителе в формате: .</w:t>
            </w:r>
            <w:proofErr w:type="spellStart"/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pdf</w:t>
            </w:r>
            <w:proofErr w:type="spellEnd"/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Adobe</w:t>
            </w:r>
            <w:proofErr w:type="spellEnd"/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Acrobat</w:t>
            </w:r>
            <w:proofErr w:type="spellEnd"/>
            <w:r w:rsidRPr="006F054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).</w:t>
            </w:r>
          </w:p>
        </w:tc>
      </w:tr>
      <w:tr w:rsidR="00495AB8" w:rsidRPr="006F054C">
        <w:trPr>
          <w:trHeight w:val="9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 w:rsidP="006514A5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4A5" w:rsidRPr="006F0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before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Членство в СРО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B8" w:rsidRPr="006F054C" w:rsidRDefault="00877591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ч.4, ст. 48 Градостроительного кодекса Российской Федерации от 29.12.2004 № 190-ФЗ Исполнитель должен являться действующим членом саморегулируемой организации в области </w:t>
            </w:r>
            <w:r w:rsidRPr="006F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архитектурно-строительного проектирования, что подтверждается предоставлением Исполнителем выписки из реестра членов саморегулируемой организации (по форме утвержденной приказом Федеральной службы по экологическому, технологическому и атомному надзору от 04.03.2019 № 86), или копией такой выписки.</w:t>
            </w:r>
            <w:proofErr w:type="gram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Минимальный размер взноса участника закупки в компенсационный фонд возмещения вреда должен быть сформирован в соответствии с требованиями ч. 10 ст. 55.16 Градостроительного кодекса Российской Федерации,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ч. 11 ст. 55.16 Градостроительного кодекса Российской Федерации.</w:t>
            </w:r>
            <w:proofErr w:type="gramEnd"/>
            <w:r w:rsidRPr="006F054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 должен быть не ниже предложения участника закупки о цене контракта. </w:t>
            </w:r>
          </w:p>
          <w:p w:rsidR="00495AB8" w:rsidRPr="006F054C" w:rsidRDefault="00877591">
            <w:pPr>
              <w:spacing w:line="288" w:lineRule="auto"/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54C">
              <w:rPr>
                <w:rFonts w:ascii="Times New Roman" w:hAnsi="Times New Roman" w:cs="Times New Roman"/>
                <w:sz w:val="24"/>
                <w:szCs w:val="24"/>
              </w:rPr>
              <w:t>Не требуется членство в саморегулируемых организациях в области архитектурно-строительного проектирования в случаях, перечисленных в ч. 4.1 Градостроительного кодекса Российской Федерации.</w:t>
            </w:r>
          </w:p>
        </w:tc>
      </w:tr>
    </w:tbl>
    <w:p w:rsidR="00495AB8" w:rsidRPr="006F054C" w:rsidRDefault="00495AB8">
      <w:pPr>
        <w:rPr>
          <w:rFonts w:ascii="Times New Roman" w:hAnsi="Times New Roman" w:cs="Times New Roman"/>
          <w:sz w:val="24"/>
          <w:szCs w:val="24"/>
        </w:rPr>
      </w:pPr>
    </w:p>
    <w:p w:rsidR="00495AB8" w:rsidRPr="006F054C" w:rsidRDefault="00495AB8">
      <w:pPr>
        <w:rPr>
          <w:rFonts w:ascii="Times New Roman" w:hAnsi="Times New Roman" w:cs="Times New Roman"/>
          <w:sz w:val="24"/>
          <w:szCs w:val="24"/>
        </w:rPr>
      </w:pPr>
    </w:p>
    <w:p w:rsidR="00495AB8" w:rsidRPr="006F054C" w:rsidRDefault="00495AB8">
      <w:pPr>
        <w:rPr>
          <w:rFonts w:ascii="Times New Roman" w:hAnsi="Times New Roman" w:cs="Times New Roman"/>
          <w:sz w:val="24"/>
          <w:szCs w:val="24"/>
        </w:rPr>
      </w:pPr>
    </w:p>
    <w:p w:rsidR="00495AB8" w:rsidRPr="006F054C" w:rsidRDefault="00495AB8">
      <w:pPr>
        <w:rPr>
          <w:rFonts w:ascii="Times New Roman" w:hAnsi="Times New Roman" w:cs="Times New Roman"/>
          <w:sz w:val="24"/>
          <w:szCs w:val="24"/>
        </w:rPr>
      </w:pPr>
    </w:p>
    <w:p w:rsidR="00495AB8" w:rsidRPr="006F054C" w:rsidRDefault="00495AB8">
      <w:pPr>
        <w:rPr>
          <w:rFonts w:ascii="Times New Roman" w:hAnsi="Times New Roman" w:cs="Times New Roman"/>
          <w:sz w:val="24"/>
          <w:szCs w:val="24"/>
        </w:rPr>
      </w:pPr>
    </w:p>
    <w:p w:rsidR="00495AB8" w:rsidRPr="006F054C" w:rsidRDefault="00495AB8">
      <w:pPr>
        <w:rPr>
          <w:rFonts w:ascii="Times New Roman" w:hAnsi="Times New Roman" w:cs="Times New Roman"/>
          <w:sz w:val="24"/>
          <w:szCs w:val="24"/>
        </w:rPr>
      </w:pPr>
    </w:p>
    <w:p w:rsidR="00495AB8" w:rsidRPr="006F054C" w:rsidRDefault="00495AB8">
      <w:pPr>
        <w:rPr>
          <w:rFonts w:ascii="Times New Roman" w:hAnsi="Times New Roman" w:cs="Times New Roman"/>
          <w:sz w:val="24"/>
          <w:szCs w:val="24"/>
        </w:rPr>
      </w:pPr>
    </w:p>
    <w:p w:rsidR="00495AB8" w:rsidRPr="006F054C" w:rsidRDefault="00495AB8">
      <w:pPr>
        <w:rPr>
          <w:rFonts w:ascii="Times New Roman" w:hAnsi="Times New Roman" w:cs="Times New Roman"/>
          <w:sz w:val="24"/>
          <w:szCs w:val="24"/>
        </w:rPr>
      </w:pPr>
    </w:p>
    <w:sectPr w:rsidR="00495AB8" w:rsidRPr="006F054C">
      <w:pgSz w:w="11906" w:h="16838"/>
      <w:pgMar w:top="1134" w:right="850" w:bottom="567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766"/>
    <w:multiLevelType w:val="multilevel"/>
    <w:tmpl w:val="1B5C1DA6"/>
    <w:lvl w:ilvl="0">
      <w:start w:val="1"/>
      <w:numFmt w:val="decimal"/>
      <w:lvlText w:val="%1."/>
      <w:lvlJc w:val="left"/>
      <w:pPr>
        <w:ind w:left="802" w:hanging="360"/>
      </w:pPr>
    </w:lvl>
    <w:lvl w:ilvl="1">
      <w:start w:val="1"/>
      <w:numFmt w:val="lowerLetter"/>
      <w:lvlText w:val="%2."/>
      <w:lvlJc w:val="left"/>
      <w:pPr>
        <w:ind w:left="1522" w:hanging="360"/>
      </w:pPr>
    </w:lvl>
    <w:lvl w:ilvl="2">
      <w:start w:val="1"/>
      <w:numFmt w:val="lowerRoman"/>
      <w:lvlText w:val="%3."/>
      <w:lvlJc w:val="right"/>
      <w:pPr>
        <w:ind w:left="2242" w:hanging="180"/>
      </w:pPr>
    </w:lvl>
    <w:lvl w:ilvl="3">
      <w:start w:val="1"/>
      <w:numFmt w:val="decimal"/>
      <w:lvlText w:val="%4."/>
      <w:lvlJc w:val="left"/>
      <w:pPr>
        <w:ind w:left="2962" w:hanging="360"/>
      </w:pPr>
    </w:lvl>
    <w:lvl w:ilvl="4">
      <w:start w:val="1"/>
      <w:numFmt w:val="lowerLetter"/>
      <w:lvlText w:val="%5."/>
      <w:lvlJc w:val="left"/>
      <w:pPr>
        <w:ind w:left="3682" w:hanging="360"/>
      </w:pPr>
    </w:lvl>
    <w:lvl w:ilvl="5">
      <w:start w:val="1"/>
      <w:numFmt w:val="lowerRoman"/>
      <w:lvlText w:val="%6."/>
      <w:lvlJc w:val="right"/>
      <w:pPr>
        <w:ind w:left="4402" w:hanging="180"/>
      </w:pPr>
    </w:lvl>
    <w:lvl w:ilvl="6">
      <w:start w:val="1"/>
      <w:numFmt w:val="decimal"/>
      <w:lvlText w:val="%7."/>
      <w:lvlJc w:val="left"/>
      <w:pPr>
        <w:ind w:left="5122" w:hanging="360"/>
      </w:pPr>
    </w:lvl>
    <w:lvl w:ilvl="7">
      <w:start w:val="1"/>
      <w:numFmt w:val="lowerLetter"/>
      <w:lvlText w:val="%8."/>
      <w:lvlJc w:val="left"/>
      <w:pPr>
        <w:ind w:left="5842" w:hanging="360"/>
      </w:pPr>
    </w:lvl>
    <w:lvl w:ilvl="8">
      <w:start w:val="1"/>
      <w:numFmt w:val="lowerRoman"/>
      <w:lvlText w:val="%9."/>
      <w:lvlJc w:val="right"/>
      <w:pPr>
        <w:ind w:left="6562" w:hanging="180"/>
      </w:pPr>
    </w:lvl>
  </w:abstractNum>
  <w:abstractNum w:abstractNumId="1">
    <w:nsid w:val="0A9D5297"/>
    <w:multiLevelType w:val="multilevel"/>
    <w:tmpl w:val="783E4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A409B"/>
    <w:multiLevelType w:val="multilevel"/>
    <w:tmpl w:val="94587D56"/>
    <w:lvl w:ilvl="0">
      <w:start w:val="1"/>
      <w:numFmt w:val="decimal"/>
      <w:lvlText w:val="%1."/>
      <w:lvlJc w:val="left"/>
      <w:pPr>
        <w:ind w:left="63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55" w:hanging="360"/>
      </w:pPr>
    </w:lvl>
    <w:lvl w:ilvl="2">
      <w:start w:val="1"/>
      <w:numFmt w:val="lowerRoman"/>
      <w:lvlText w:val="%3."/>
      <w:lvlJc w:val="right"/>
      <w:pPr>
        <w:ind w:left="2075" w:hanging="180"/>
      </w:pPr>
    </w:lvl>
    <w:lvl w:ilvl="3">
      <w:start w:val="1"/>
      <w:numFmt w:val="decimal"/>
      <w:lvlText w:val="%4."/>
      <w:lvlJc w:val="left"/>
      <w:pPr>
        <w:ind w:left="2795" w:hanging="360"/>
      </w:pPr>
    </w:lvl>
    <w:lvl w:ilvl="4">
      <w:start w:val="1"/>
      <w:numFmt w:val="lowerLetter"/>
      <w:lvlText w:val="%5."/>
      <w:lvlJc w:val="left"/>
      <w:pPr>
        <w:ind w:left="3515" w:hanging="360"/>
      </w:pPr>
    </w:lvl>
    <w:lvl w:ilvl="5">
      <w:start w:val="1"/>
      <w:numFmt w:val="lowerRoman"/>
      <w:lvlText w:val="%6."/>
      <w:lvlJc w:val="right"/>
      <w:pPr>
        <w:ind w:left="4235" w:hanging="180"/>
      </w:p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675" w:hanging="360"/>
      </w:pPr>
    </w:lvl>
    <w:lvl w:ilvl="8">
      <w:start w:val="1"/>
      <w:numFmt w:val="lowerRoman"/>
      <w:lvlText w:val="%9."/>
      <w:lvlJc w:val="right"/>
      <w:pPr>
        <w:ind w:left="6395" w:hanging="180"/>
      </w:pPr>
    </w:lvl>
  </w:abstractNum>
  <w:abstractNum w:abstractNumId="3">
    <w:nsid w:val="49FF7430"/>
    <w:multiLevelType w:val="multilevel"/>
    <w:tmpl w:val="5A98EB9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BE55A6B"/>
    <w:multiLevelType w:val="multilevel"/>
    <w:tmpl w:val="1F30B7C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59E4C59"/>
    <w:multiLevelType w:val="multilevel"/>
    <w:tmpl w:val="75887106"/>
    <w:lvl w:ilvl="0">
      <w:start w:val="1"/>
      <w:numFmt w:val="bullet"/>
      <w:lvlText w:val="­"/>
      <w:lvlJc w:val="left"/>
      <w:pPr>
        <w:ind w:left="785" w:hanging="360"/>
      </w:pPr>
      <w:rPr>
        <w:rFonts w:ascii="Courier New" w:hAnsi="Courier New" w:cs="Courier New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EAF3870"/>
    <w:multiLevelType w:val="hybridMultilevel"/>
    <w:tmpl w:val="E7A64DAA"/>
    <w:lvl w:ilvl="0" w:tplc="8A5452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3597B"/>
    <w:multiLevelType w:val="multilevel"/>
    <w:tmpl w:val="3B9E9F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8650F88"/>
    <w:multiLevelType w:val="hybridMultilevel"/>
    <w:tmpl w:val="65CCB2CA"/>
    <w:lvl w:ilvl="0" w:tplc="E5F21C7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8"/>
    <w:rsid w:val="00034877"/>
    <w:rsid w:val="00246523"/>
    <w:rsid w:val="00495AB8"/>
    <w:rsid w:val="00530C9B"/>
    <w:rsid w:val="005C5A46"/>
    <w:rsid w:val="00633D0C"/>
    <w:rsid w:val="006514A5"/>
    <w:rsid w:val="006A3A87"/>
    <w:rsid w:val="006F054C"/>
    <w:rsid w:val="00743994"/>
    <w:rsid w:val="00765371"/>
    <w:rsid w:val="00783417"/>
    <w:rsid w:val="008171C6"/>
    <w:rsid w:val="00817EA7"/>
    <w:rsid w:val="00875431"/>
    <w:rsid w:val="00877591"/>
    <w:rsid w:val="0095728D"/>
    <w:rsid w:val="009B66F8"/>
    <w:rsid w:val="00A806BF"/>
    <w:rsid w:val="00AB12B4"/>
    <w:rsid w:val="00B0295C"/>
    <w:rsid w:val="00B058BB"/>
    <w:rsid w:val="00B61B96"/>
    <w:rsid w:val="00BC1B73"/>
    <w:rsid w:val="00BD6F96"/>
    <w:rsid w:val="00D33ED5"/>
    <w:rsid w:val="00DE2397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qFormat/>
    <w:rsid w:val="00034877"/>
    <w:pPr>
      <w:keepNext/>
      <w:suppressAutoHyphens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67B4D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767B4D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67B4D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67B4D"/>
    <w:rPr>
      <w:rFonts w:ascii="Segoe UI" w:hAnsi="Segoe UI" w:cs="Segoe UI"/>
      <w:sz w:val="18"/>
      <w:szCs w:val="18"/>
    </w:rPr>
  </w:style>
  <w:style w:type="character" w:customStyle="1" w:styleId="10">
    <w:name w:val="Слабое выделение1"/>
    <w:qFormat/>
    <w:rPr>
      <w:i/>
      <w:color w:val="808080"/>
    </w:rPr>
  </w:style>
  <w:style w:type="character" w:customStyle="1" w:styleId="WW8Num1z0">
    <w:name w:val="WW8Num1z0"/>
    <w:qFormat/>
  </w:style>
  <w:style w:type="character" w:customStyle="1" w:styleId="a7">
    <w:name w:val="Верхний колонтитул Знак"/>
    <w:qFormat/>
    <w:rPr>
      <w:rFonts w:eastAsia="Times New Roman"/>
    </w:rPr>
  </w:style>
  <w:style w:type="character" w:customStyle="1" w:styleId="a8">
    <w:name w:val="Нижний колонтитул Знак"/>
    <w:qFormat/>
    <w:rPr>
      <w:rFonts w:eastAsia="Times New Roman"/>
    </w:rPr>
  </w:style>
  <w:style w:type="character" w:customStyle="1" w:styleId="12">
    <w:name w:val="Заголовок 1 Знак"/>
    <w:aliases w:val="Document Header1 Знак, Знак Знак1,Заголовок 1 Знак1 Знак"/>
    <w:uiPriority w:val="99"/>
    <w:qFormat/>
    <w:rPr>
      <w:rFonts w:eastAsia="Times New Roman"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pacing w:before="120" w:after="120"/>
    </w:pPr>
    <w:rPr>
      <w:i/>
      <w:iCs/>
      <w:lang w:eastAsia="ar-SA"/>
    </w:rPr>
  </w:style>
  <w:style w:type="paragraph" w:styleId="ad">
    <w:name w:val="index heading"/>
    <w:basedOn w:val="a"/>
    <w:qFormat/>
    <w:rPr>
      <w:lang w:eastAsia="ar-SA"/>
    </w:rPr>
  </w:style>
  <w:style w:type="paragraph" w:styleId="ae">
    <w:name w:val="List Paragraph"/>
    <w:basedOn w:val="a"/>
    <w:uiPriority w:val="34"/>
    <w:qFormat/>
    <w:rsid w:val="00F22644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767B4D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767B4D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767B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spacing w:line="259" w:lineRule="auto"/>
      <w:textAlignment w:val="baseline"/>
    </w:pPr>
    <w:rPr>
      <w:rFonts w:ascii="Arial" w:eastAsia="Arial Unicode MS" w:hAnsi="Arial" w:cs="Arial"/>
      <w:kern w:val="2"/>
      <w:sz w:val="18"/>
      <w:szCs w:val="18"/>
      <w:lang w:eastAsia="ar-SA"/>
    </w:r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Liberation Sans" w:hAnsi="Liberation Sans" w:cs="Liberation Sans"/>
      <w:sz w:val="28"/>
      <w:szCs w:val="28"/>
      <w:lang w:eastAsia="ar-SA"/>
    </w:rPr>
  </w:style>
  <w:style w:type="paragraph" w:styleId="af2">
    <w:name w:val="Normal (Web)"/>
    <w:basedOn w:val="a"/>
    <w:qFormat/>
    <w:pPr>
      <w:spacing w:beforeAutospacing="1" w:afterAutospacing="1"/>
    </w:pPr>
    <w:rPr>
      <w:rFonts w:eastAsia="Calibri"/>
      <w:lang w:eastAsia="ar-SA"/>
    </w:rPr>
  </w:style>
  <w:style w:type="paragraph" w:customStyle="1" w:styleId="ConsPlusNonformat">
    <w:name w:val="ConsPlusNonformat"/>
    <w:qFormat/>
    <w:rPr>
      <w:rFonts w:ascii="Courier New" w:eastAsia="Courier New" w:hAnsi="Courier New" w:cs="Liberation Serif"/>
      <w:sz w:val="24"/>
      <w:szCs w:val="20"/>
      <w:lang w:eastAsia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Liberation Serif"/>
      <w:sz w:val="24"/>
      <w:szCs w:val="20"/>
      <w:lang w:eastAsia="ar-SA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table" w:styleId="af4">
    <w:name w:val="Table Grid"/>
    <w:basedOn w:val="a1"/>
    <w:uiPriority w:val="39"/>
    <w:rsid w:val="0095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qFormat/>
    <w:rsid w:val="00034877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qFormat/>
    <w:rsid w:val="00034877"/>
    <w:pPr>
      <w:keepNext/>
      <w:suppressAutoHyphens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67B4D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767B4D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67B4D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67B4D"/>
    <w:rPr>
      <w:rFonts w:ascii="Segoe UI" w:hAnsi="Segoe UI" w:cs="Segoe UI"/>
      <w:sz w:val="18"/>
      <w:szCs w:val="18"/>
    </w:rPr>
  </w:style>
  <w:style w:type="character" w:customStyle="1" w:styleId="10">
    <w:name w:val="Слабое выделение1"/>
    <w:qFormat/>
    <w:rPr>
      <w:i/>
      <w:color w:val="808080"/>
    </w:rPr>
  </w:style>
  <w:style w:type="character" w:customStyle="1" w:styleId="WW8Num1z0">
    <w:name w:val="WW8Num1z0"/>
    <w:qFormat/>
  </w:style>
  <w:style w:type="character" w:customStyle="1" w:styleId="a7">
    <w:name w:val="Верхний колонтитул Знак"/>
    <w:qFormat/>
    <w:rPr>
      <w:rFonts w:eastAsia="Times New Roman"/>
    </w:rPr>
  </w:style>
  <w:style w:type="character" w:customStyle="1" w:styleId="a8">
    <w:name w:val="Нижний колонтитул Знак"/>
    <w:qFormat/>
    <w:rPr>
      <w:rFonts w:eastAsia="Times New Roman"/>
    </w:rPr>
  </w:style>
  <w:style w:type="character" w:customStyle="1" w:styleId="12">
    <w:name w:val="Заголовок 1 Знак"/>
    <w:aliases w:val="Document Header1 Знак, Знак Знак1,Заголовок 1 Знак1 Знак"/>
    <w:uiPriority w:val="99"/>
    <w:qFormat/>
    <w:rPr>
      <w:rFonts w:eastAsia="Times New Roman"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pacing w:before="120" w:after="120"/>
    </w:pPr>
    <w:rPr>
      <w:i/>
      <w:iCs/>
      <w:lang w:eastAsia="ar-SA"/>
    </w:rPr>
  </w:style>
  <w:style w:type="paragraph" w:styleId="ad">
    <w:name w:val="index heading"/>
    <w:basedOn w:val="a"/>
    <w:qFormat/>
    <w:rPr>
      <w:lang w:eastAsia="ar-SA"/>
    </w:rPr>
  </w:style>
  <w:style w:type="paragraph" w:styleId="ae">
    <w:name w:val="List Paragraph"/>
    <w:basedOn w:val="a"/>
    <w:uiPriority w:val="34"/>
    <w:qFormat/>
    <w:rsid w:val="00F22644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767B4D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767B4D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767B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spacing w:line="259" w:lineRule="auto"/>
      <w:textAlignment w:val="baseline"/>
    </w:pPr>
    <w:rPr>
      <w:rFonts w:ascii="Arial" w:eastAsia="Arial Unicode MS" w:hAnsi="Arial" w:cs="Arial"/>
      <w:kern w:val="2"/>
      <w:sz w:val="18"/>
      <w:szCs w:val="18"/>
      <w:lang w:eastAsia="ar-SA"/>
    </w:r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Liberation Sans" w:hAnsi="Liberation Sans" w:cs="Liberation Sans"/>
      <w:sz w:val="28"/>
      <w:szCs w:val="28"/>
      <w:lang w:eastAsia="ar-SA"/>
    </w:rPr>
  </w:style>
  <w:style w:type="paragraph" w:styleId="af2">
    <w:name w:val="Normal (Web)"/>
    <w:basedOn w:val="a"/>
    <w:qFormat/>
    <w:pPr>
      <w:spacing w:beforeAutospacing="1" w:afterAutospacing="1"/>
    </w:pPr>
    <w:rPr>
      <w:rFonts w:eastAsia="Calibri"/>
      <w:lang w:eastAsia="ar-SA"/>
    </w:rPr>
  </w:style>
  <w:style w:type="paragraph" w:customStyle="1" w:styleId="ConsPlusNonformat">
    <w:name w:val="ConsPlusNonformat"/>
    <w:qFormat/>
    <w:rPr>
      <w:rFonts w:ascii="Courier New" w:eastAsia="Courier New" w:hAnsi="Courier New" w:cs="Liberation Serif"/>
      <w:sz w:val="24"/>
      <w:szCs w:val="20"/>
      <w:lang w:eastAsia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Liberation Serif"/>
      <w:sz w:val="24"/>
      <w:szCs w:val="20"/>
      <w:lang w:eastAsia="ar-SA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table" w:styleId="af4">
    <w:name w:val="Table Grid"/>
    <w:basedOn w:val="a1"/>
    <w:uiPriority w:val="39"/>
    <w:rsid w:val="0095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qFormat/>
    <w:rsid w:val="00034877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5253B-7E95-4849-AE2B-84C312C7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22</cp:revision>
  <cp:lastPrinted>2021-09-30T11:06:00Z</cp:lastPrinted>
  <dcterms:created xsi:type="dcterms:W3CDTF">2021-09-30T08:41:00Z</dcterms:created>
  <dcterms:modified xsi:type="dcterms:W3CDTF">2021-10-15T10:59:00Z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