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4FCBC739" w14:textId="7C8B72A1" w:rsidR="00EA6227" w:rsidRPr="00BF5676" w:rsidRDefault="005558C2" w:rsidP="00E069FC">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9C3817" w:rsidRPr="009C3817">
        <w:rPr>
          <w:b/>
        </w:rPr>
        <w:t>поставку</w:t>
      </w:r>
      <w:r w:rsidR="009C3817" w:rsidRPr="009C3817">
        <w:rPr>
          <w:b/>
        </w:rPr>
        <w:t xml:space="preserve"> товара для учреждения (канцелярские товары).</w:t>
      </w:r>
    </w:p>
    <w:p w14:paraId="57A6BF21"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32FF44A2" w14:textId="77777777" w:rsidR="00BA2DE6" w:rsidRDefault="00BA2DE6" w:rsidP="00BA2DE6">
      <w:pPr>
        <w:jc w:val="center"/>
        <w:rPr>
          <w:b/>
          <w:snapToGrid w:val="0"/>
          <w:color w:val="000000"/>
        </w:rPr>
      </w:pP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r w:rsidRPr="001F2AB8">
              <w:t>142821, Московская область, г.о. Ступино, с. Верзилово, Новое Ступино, ул. Молодежная, вл. 40</w:t>
            </w:r>
          </w:p>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AF7F55"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77777777" w:rsidR="00BA2DE6" w:rsidRPr="00482D1B" w:rsidRDefault="00BF5676" w:rsidP="00D13A14">
            <w:r>
              <w:t>Бюджетные средства</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4B27C367" w:rsidR="00BA2DE6" w:rsidRPr="00F8654F" w:rsidRDefault="009C3817" w:rsidP="00432D0C">
            <w:pPr>
              <w:spacing w:line="0" w:lineRule="atLeast"/>
              <w:jc w:val="both"/>
            </w:pPr>
            <w:r>
              <w:rPr>
                <w:rFonts w:ascii="Arial" w:hAnsi="Arial" w:cs="Arial"/>
                <w:color w:val="333333"/>
                <w:sz w:val="21"/>
                <w:szCs w:val="21"/>
                <w:shd w:val="clear" w:color="auto" w:fill="FFFFFF"/>
              </w:rPr>
              <w:t>Поставка товара для учреждения (канцелярские товары).</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142821, Московская область, г.о. Ступино, с. Верзилово,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3046EEBF" w:rsidR="00970905" w:rsidRPr="006D7D51" w:rsidRDefault="009C3817" w:rsidP="004C3CF6">
            <w:pPr>
              <w:jc w:val="both"/>
              <w:rPr>
                <w:b/>
                <w:i/>
              </w:rPr>
            </w:pPr>
            <w:r>
              <w:rPr>
                <w:rFonts w:eastAsia="Calibri"/>
                <w:iCs/>
                <w:lang w:eastAsia="en-US"/>
              </w:rPr>
              <w:t>118 900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сто восемнадцать тысяч девятьсот</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Pr>
                <w:rFonts w:eastAsia="Calibri"/>
                <w:b/>
                <w:iCs/>
                <w:lang w:eastAsia="en-US"/>
              </w:rPr>
              <w:t>12</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AF7F55"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67939660" w:rsidR="00970905" w:rsidRPr="00A01336" w:rsidRDefault="007B4772" w:rsidP="00791902">
            <w:pPr>
              <w:autoSpaceDE w:val="0"/>
              <w:autoSpaceDN w:val="0"/>
              <w:adjustRightInd w:val="0"/>
              <w:jc w:val="both"/>
            </w:pPr>
            <w:r>
              <w:t>15.04.2020</w:t>
            </w:r>
            <w:r w:rsidR="00CC062C" w:rsidRPr="00430196">
              <w:t xml:space="preserve"> г.</w:t>
            </w:r>
            <w:r w:rsidR="00157137" w:rsidRPr="00430196">
              <w:t xml:space="preserve"> в</w:t>
            </w:r>
            <w:r w:rsidR="00CC062C" w:rsidRPr="00430196">
              <w:t xml:space="preserve"> </w:t>
            </w:r>
            <w:r w:rsidR="00265DE7" w:rsidRPr="00430196">
              <w:t>1</w:t>
            </w:r>
            <w:r>
              <w:t>2</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5D0AD995" w:rsidR="00970905" w:rsidRPr="00A01336" w:rsidRDefault="00586089" w:rsidP="00586089">
            <w:pPr>
              <w:jc w:val="both"/>
            </w:pPr>
            <w:r>
              <w:t>23.04.2020</w:t>
            </w:r>
            <w:r w:rsidR="00CC062C" w:rsidRPr="00430196">
              <w:t xml:space="preserve"> г </w:t>
            </w:r>
            <w:r>
              <w:t xml:space="preserve">до </w:t>
            </w:r>
            <w:r w:rsidR="00265DE7" w:rsidRPr="00430196">
              <w:t>1</w:t>
            </w:r>
            <w:r>
              <w:t>2</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142821, Московская область, г.о. Ступино, с. Верзилово, Новое Ступино, ул. Молодежная, вл. 40</w:t>
            </w:r>
          </w:p>
          <w:p w14:paraId="73164927" w14:textId="77777777" w:rsidR="00970905" w:rsidRPr="00A01336" w:rsidRDefault="00970905" w:rsidP="00970905">
            <w:pPr>
              <w:jc w:val="both"/>
            </w:pPr>
          </w:p>
          <w:p w14:paraId="3901641D" w14:textId="748403C7" w:rsidR="00CC062C" w:rsidRPr="00A01336" w:rsidRDefault="00586089" w:rsidP="00CC062C">
            <w:pPr>
              <w:jc w:val="both"/>
            </w:pPr>
            <w:r>
              <w:t>23.04.2020</w:t>
            </w:r>
            <w:r w:rsidR="00157137" w:rsidRPr="00430196">
              <w:t xml:space="preserve"> г. в</w:t>
            </w:r>
            <w:r w:rsidR="00CC062C" w:rsidRPr="00430196">
              <w:t xml:space="preserve"> </w:t>
            </w:r>
            <w:r w:rsidR="00265DE7" w:rsidRPr="00430196">
              <w:t>1</w:t>
            </w:r>
            <w:r w:rsidR="009C3817">
              <w:t>5</w:t>
            </w:r>
            <w:r w:rsidR="00CC062C" w:rsidRPr="00430196">
              <w:t>:</w:t>
            </w:r>
            <w:r w:rsidR="00265DE7" w:rsidRPr="00430196">
              <w:t>0</w:t>
            </w:r>
            <w:r w:rsidR="005013CB" w:rsidRPr="00430196">
              <w:t>0</w:t>
            </w:r>
            <w:r w:rsidR="00157137" w:rsidRPr="00430196">
              <w:t xml:space="preserve"> «время местное»</w:t>
            </w:r>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w:t>
            </w:r>
            <w:r w:rsidRPr="00C834BD">
              <w:lastRenderedPageBreak/>
              <w:t>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w:t>
            </w:r>
            <w:bookmarkStart w:id="4" w:name="_GoBack"/>
            <w:r w:rsidRPr="00BD371A">
              <w:rPr>
                <w:szCs w:val="28"/>
              </w:rPr>
              <w:t>на Официальном сайте Единой информационной системы в сфере закупок, а также ЭТП (ЕСТП), без взимания платы.</w:t>
            </w:r>
            <w:bookmarkEnd w:id="3"/>
            <w:bookmarkEnd w:id="4"/>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sidRPr="00372E85">
        <w:rPr>
          <w:sz w:val="24"/>
          <w:szCs w:val="24"/>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w:t>
      </w:r>
      <w:r>
        <w:lastRenderedPageBreak/>
        <w:t>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w:t>
      </w:r>
      <w:r w:rsidRPr="00940E5C">
        <w:rPr>
          <w:rStyle w:val="FontStyle42"/>
        </w:rPr>
        <w:lastRenderedPageBreak/>
        <w:t xml:space="preserve">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3" w:name="_Toc119343918"/>
      <w:r w:rsidRPr="00E355EA">
        <w:rPr>
          <w:b/>
        </w:rPr>
        <w:t>ДОВЕРЕННОСТЬ  № ____</w:t>
      </w:r>
      <w:bookmarkEnd w:id="13"/>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lastRenderedPageBreak/>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lastRenderedPageBreak/>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lastRenderedPageBreak/>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AF7F55"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68F9BA4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B5B0C" w14:textId="77777777" w:rsidR="00AF7F55" w:rsidRDefault="00AF7F55" w:rsidP="00270664">
      <w:r>
        <w:separator/>
      </w:r>
    </w:p>
  </w:endnote>
  <w:endnote w:type="continuationSeparator" w:id="0">
    <w:p w14:paraId="30FD69E5" w14:textId="77777777" w:rsidR="00AF7F55" w:rsidRDefault="00AF7F55"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3AEB6" w14:textId="77777777" w:rsidR="00AF7F55" w:rsidRDefault="00AF7F55" w:rsidP="00270664">
      <w:r>
        <w:separator/>
      </w:r>
    </w:p>
  </w:footnote>
  <w:footnote w:type="continuationSeparator" w:id="0">
    <w:p w14:paraId="4F860C56" w14:textId="77777777" w:rsidR="00AF7F55" w:rsidRDefault="00AF7F55" w:rsidP="00270664">
      <w:r>
        <w:continuationSeparator/>
      </w:r>
    </w:p>
  </w:footnote>
  <w:footnote w:id="1">
    <w:p w14:paraId="0CF8E62A" w14:textId="77777777" w:rsidR="007B4772" w:rsidRPr="00C349BB" w:rsidRDefault="007B477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C07B4"/>
    <w:rsid w:val="000C4155"/>
    <w:rsid w:val="000C7C7D"/>
    <w:rsid w:val="000D1EFC"/>
    <w:rsid w:val="000D3899"/>
    <w:rsid w:val="000E13F3"/>
    <w:rsid w:val="000E3764"/>
    <w:rsid w:val="00104914"/>
    <w:rsid w:val="00106B32"/>
    <w:rsid w:val="0012112C"/>
    <w:rsid w:val="0014630F"/>
    <w:rsid w:val="00150D3A"/>
    <w:rsid w:val="00157137"/>
    <w:rsid w:val="001572B6"/>
    <w:rsid w:val="00180ACD"/>
    <w:rsid w:val="00190556"/>
    <w:rsid w:val="001A2518"/>
    <w:rsid w:val="001A2DD6"/>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B4772"/>
    <w:rsid w:val="007F191F"/>
    <w:rsid w:val="00811F76"/>
    <w:rsid w:val="008250C9"/>
    <w:rsid w:val="00834730"/>
    <w:rsid w:val="008550E2"/>
    <w:rsid w:val="00866A31"/>
    <w:rsid w:val="00867D10"/>
    <w:rsid w:val="008713C1"/>
    <w:rsid w:val="008716AB"/>
    <w:rsid w:val="00877374"/>
    <w:rsid w:val="008953FF"/>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C3817"/>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AF7F55"/>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26E7"/>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53BA"/>
    <w:rsid w:val="00DD14C6"/>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6897D-2820-442D-ADED-099CB6FD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10349</Words>
  <Characters>58990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99</cp:revision>
  <cp:lastPrinted>2018-11-29T11:27:00Z</cp:lastPrinted>
  <dcterms:created xsi:type="dcterms:W3CDTF">2019-01-24T08:21:00Z</dcterms:created>
  <dcterms:modified xsi:type="dcterms:W3CDTF">2020-04-14T22:04:00Z</dcterms:modified>
</cp:coreProperties>
</file>