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left" w:pos="8940"/>
        </w:tabs>
        <w:jc w:val="center"/>
        <w:rPr>
          <w:rFonts w:ascii="Times New Roman" w:hAnsi="Times New Roman" w:cs="Times New Roman"/>
          <w:bCs/>
          <w:sz w:val="24"/>
          <w:szCs w:val="24"/>
        </w:rPr>
      </w:pPr>
      <w:r>
        <w:rPr>
          <w:rFonts w:ascii="Times New Roman" w:hAnsi="Times New Roman" w:cs="Times New Roman"/>
          <w:bCs/>
          <w:sz w:val="24"/>
          <w:szCs w:val="24"/>
        </w:rPr>
        <w:t>Техническое задание</w:t>
      </w:r>
    </w:p>
    <w:p>
      <w:pPr>
        <w:pStyle w:val="9"/>
        <w:tabs>
          <w:tab w:val="left" w:pos="8940"/>
        </w:tabs>
        <w:jc w:val="center"/>
        <w:rPr>
          <w:rFonts w:ascii="Times New Roman" w:hAnsi="Times New Roman" w:cs="Times New Roman"/>
          <w:bCs/>
          <w:sz w:val="24"/>
          <w:szCs w:val="24"/>
        </w:rPr>
      </w:pPr>
      <w:r>
        <w:rPr>
          <w:rFonts w:ascii="Times New Roman" w:hAnsi="Times New Roman" w:cs="Times New Roman"/>
          <w:bCs/>
          <w:sz w:val="24"/>
          <w:szCs w:val="24"/>
        </w:rPr>
        <w:t>на поставку мяса и мясной продукции</w:t>
      </w:r>
    </w:p>
    <w:p>
      <w:pPr>
        <w:numPr>
          <w:ilvl w:val="0"/>
          <w:numId w:val="1"/>
        </w:numPr>
        <w:spacing w:after="0" w:line="240" w:lineRule="auto"/>
        <w:ind w:left="360" w:hanging="76"/>
        <w:rPr>
          <w:rFonts w:ascii="Times New Roman" w:hAnsi="Times New Roman" w:cs="Times New Roman"/>
          <w:sz w:val="24"/>
          <w:szCs w:val="24"/>
        </w:rPr>
      </w:pPr>
      <w:r>
        <w:rPr>
          <w:rFonts w:ascii="Times New Roman" w:hAnsi="Times New Roman" w:cs="Times New Roman"/>
          <w:b/>
          <w:sz w:val="24"/>
          <w:szCs w:val="24"/>
        </w:rPr>
        <w:t xml:space="preserve"> Наименование Заказчика:</w:t>
      </w:r>
      <w:r>
        <w:rPr>
          <w:rFonts w:ascii="Times New Roman" w:hAnsi="Times New Roman" w:cs="Times New Roman"/>
          <w:sz w:val="24"/>
          <w:szCs w:val="24"/>
        </w:rPr>
        <w:t xml:space="preserve"> муниципальное автономное дошкольное образовательное учреждение «</w:t>
      </w:r>
      <w:r>
        <w:rPr>
          <w:rFonts w:ascii="Times New Roman" w:hAnsi="Times New Roman" w:cs="Times New Roman"/>
          <w:sz w:val="24"/>
          <w:szCs w:val="24"/>
          <w:lang w:val="ru-RU"/>
        </w:rPr>
        <w:t xml:space="preserve">Алфимовский </w:t>
      </w:r>
      <w:r>
        <w:rPr>
          <w:rFonts w:ascii="Times New Roman" w:hAnsi="Times New Roman" w:cs="Times New Roman"/>
          <w:sz w:val="24"/>
          <w:szCs w:val="24"/>
        </w:rPr>
        <w:t xml:space="preserve">детский сад </w:t>
      </w:r>
      <w:r>
        <w:rPr>
          <w:rFonts w:ascii="Times New Roman" w:hAnsi="Times New Roman" w:cs="Times New Roman"/>
          <w:sz w:val="24"/>
          <w:szCs w:val="24"/>
          <w:lang w:val="ru-RU"/>
        </w:rPr>
        <w:t xml:space="preserve">общеразвивающего вида </w:t>
      </w:r>
      <w:r>
        <w:rPr>
          <w:rFonts w:hint="default" w:ascii="Times New Roman" w:hAnsi="Times New Roman" w:cs="Times New Roman"/>
          <w:sz w:val="24"/>
          <w:szCs w:val="24"/>
          <w:lang w:val="ru-RU"/>
        </w:rPr>
        <w:t>«Рябинка</w:t>
      </w:r>
      <w:r>
        <w:rPr>
          <w:rFonts w:ascii="Times New Roman" w:hAnsi="Times New Roman" w:cs="Times New Roman"/>
          <w:sz w:val="24"/>
          <w:szCs w:val="24"/>
        </w:rPr>
        <w:t>» городского округа Ступино Московской области.</w:t>
      </w:r>
    </w:p>
    <w:p>
      <w:pPr>
        <w:spacing w:after="0"/>
        <w:ind w:left="284"/>
        <w:rPr>
          <w:rFonts w:ascii="Times New Roman" w:hAnsi="Times New Roman" w:cs="Times New Roman"/>
          <w:sz w:val="24"/>
          <w:szCs w:val="24"/>
        </w:rPr>
      </w:pPr>
      <w:r>
        <w:rPr>
          <w:rFonts w:ascii="Times New Roman" w:hAnsi="Times New Roman" w:cs="Times New Roman"/>
          <w:b/>
          <w:sz w:val="24"/>
          <w:szCs w:val="24"/>
        </w:rPr>
        <w:t>2. Адрес:</w:t>
      </w:r>
      <w:r>
        <w:rPr>
          <w:rFonts w:ascii="Times New Roman" w:hAnsi="Times New Roman" w:cs="Times New Roman"/>
          <w:sz w:val="24"/>
          <w:szCs w:val="24"/>
        </w:rPr>
        <w:t xml:space="preserve"> 1428</w:t>
      </w:r>
      <w:r>
        <w:rPr>
          <w:rFonts w:ascii="Times New Roman" w:hAnsi="Times New Roman" w:cs="Times New Roman"/>
          <w:sz w:val="24"/>
          <w:szCs w:val="24"/>
          <w:lang w:val="ru-RU"/>
        </w:rPr>
        <w:t>60</w:t>
      </w:r>
      <w:r>
        <w:rPr>
          <w:rFonts w:ascii="Times New Roman" w:hAnsi="Times New Roman" w:cs="Times New Roman"/>
          <w:sz w:val="24"/>
          <w:szCs w:val="24"/>
        </w:rPr>
        <w:t xml:space="preserve">, Московская область, городской округ Ступино, </w:t>
      </w:r>
      <w:r>
        <w:rPr>
          <w:rFonts w:ascii="Times New Roman" w:hAnsi="Times New Roman" w:cs="Times New Roman"/>
          <w:sz w:val="24"/>
          <w:szCs w:val="24"/>
          <w:lang w:val="ru-RU"/>
        </w:rPr>
        <w:t>деревня</w:t>
      </w:r>
      <w:r>
        <w:rPr>
          <w:rFonts w:ascii="Times New Roman" w:hAnsi="Times New Roman" w:cs="Times New Roman"/>
          <w:sz w:val="24"/>
          <w:szCs w:val="24"/>
        </w:rPr>
        <w:t xml:space="preserve"> </w:t>
      </w:r>
      <w:r>
        <w:rPr>
          <w:rFonts w:ascii="Times New Roman" w:hAnsi="Times New Roman" w:cs="Times New Roman"/>
          <w:sz w:val="24"/>
          <w:szCs w:val="24"/>
          <w:lang w:val="ru-RU"/>
        </w:rPr>
        <w:t>Алфимово</w:t>
      </w:r>
      <w:r>
        <w:rPr>
          <w:rFonts w:ascii="Times New Roman" w:hAnsi="Times New Roman" w:cs="Times New Roman"/>
          <w:sz w:val="24"/>
          <w:szCs w:val="24"/>
        </w:rPr>
        <w:t xml:space="preserve">, </w:t>
      </w:r>
      <w:r>
        <w:rPr>
          <w:rFonts w:ascii="Times New Roman" w:hAnsi="Times New Roman" w:cs="Times New Roman"/>
          <w:sz w:val="24"/>
          <w:szCs w:val="24"/>
          <w:lang w:val="ru-RU"/>
        </w:rPr>
        <w:t>проезд Новоселов</w:t>
      </w:r>
      <w:r>
        <w:rPr>
          <w:rFonts w:ascii="Times New Roman" w:hAnsi="Times New Roman" w:cs="Times New Roman"/>
          <w:sz w:val="24"/>
          <w:szCs w:val="24"/>
        </w:rPr>
        <w:t xml:space="preserve">, владение </w:t>
      </w:r>
      <w:r>
        <w:rPr>
          <w:rFonts w:ascii="Times New Roman" w:hAnsi="Times New Roman" w:cs="Times New Roman"/>
          <w:sz w:val="24"/>
          <w:szCs w:val="24"/>
          <w:lang w:val="ru-RU"/>
        </w:rPr>
        <w:t>3</w:t>
      </w:r>
      <w:r>
        <w:rPr>
          <w:rFonts w:ascii="Times New Roman" w:hAnsi="Times New Roman" w:cs="Times New Roman"/>
          <w:sz w:val="24"/>
          <w:szCs w:val="24"/>
        </w:rPr>
        <w:t>.</w:t>
      </w:r>
    </w:p>
    <w:p>
      <w:pPr>
        <w:spacing w:after="0"/>
        <w:ind w:left="360"/>
      </w:pPr>
      <w:r>
        <w:rPr>
          <w:b/>
        </w:rPr>
        <w:t xml:space="preserve">3. Источник финансирования: </w:t>
      </w:r>
      <w:r>
        <w:t>бюджет городского округа Ступино Московской области.</w:t>
      </w:r>
    </w:p>
    <w:p>
      <w:pPr>
        <w:spacing w:after="0"/>
        <w:ind w:left="284"/>
      </w:pPr>
      <w:r>
        <w:rPr>
          <w:b/>
        </w:rPr>
        <w:t>4. Наименование объекта закупки</w:t>
      </w:r>
      <w:r>
        <w:t>: поставка мяса и мясной продукции в 1-е полугодии 2021 г.</w:t>
      </w:r>
    </w:p>
    <w:p>
      <w:pPr>
        <w:tabs>
          <w:tab w:val="left" w:pos="426"/>
        </w:tabs>
        <w:ind w:left="284"/>
        <w:contextualSpacing/>
      </w:pPr>
      <w:r>
        <w:rPr>
          <w:b/>
        </w:rPr>
        <w:t>5</w:t>
      </w:r>
      <w:r>
        <w:t xml:space="preserve">. </w:t>
      </w:r>
      <w:r>
        <w:rPr>
          <w:b/>
        </w:rPr>
        <w:t>Описание объекта закупки:</w:t>
      </w:r>
      <w:r>
        <w:t xml:space="preserve"> поставка мяса и мясной продукции в 1-е полугодии 2021 г.</w:t>
      </w:r>
    </w:p>
    <w:p>
      <w:pPr>
        <w:tabs>
          <w:tab w:val="left" w:pos="426"/>
        </w:tabs>
        <w:contextualSpacing/>
      </w:pPr>
      <w:r>
        <w:rPr>
          <w:b/>
        </w:rPr>
        <w:t xml:space="preserve">     6. Объем поставляемых товаров: </w:t>
      </w:r>
      <w:r>
        <w:rPr>
          <w:lang w:val="ru-RU"/>
        </w:rPr>
        <w:t>403</w:t>
      </w:r>
      <w:r>
        <w:t>,00 кг</w:t>
      </w:r>
    </w:p>
    <w:p>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pPr>
        <w:pStyle w:val="10"/>
        <w:ind w:left="284"/>
        <w:jc w:val="both"/>
        <w:rPr>
          <w:b/>
        </w:rPr>
      </w:pPr>
      <w:r>
        <w:rPr>
          <w:b/>
        </w:rPr>
        <w:t>8. Место поставки товаров:</w:t>
      </w:r>
      <w:r>
        <w:t xml:space="preserve"> по адресу Заказчика.</w:t>
      </w:r>
    </w:p>
    <w:p>
      <w:pPr>
        <w:spacing w:after="0"/>
        <w:rPr>
          <w:rFonts w:eastAsia="Calibri"/>
        </w:rPr>
      </w:pPr>
      <w:r>
        <w:rPr>
          <w:rFonts w:eastAsia="Calibri"/>
          <w:b/>
        </w:rPr>
        <w:t xml:space="preserve">     9. Срок поставки товаров</w:t>
      </w:r>
      <w:r>
        <w:rPr>
          <w:rFonts w:eastAsia="Calibri"/>
        </w:rPr>
        <w:t>: с 11.01.2021г по 30.06.2021 г</w:t>
      </w:r>
      <w:r>
        <w:rPr>
          <w:rFonts w:eastAsia="Calibri"/>
          <w:b/>
          <w:bCs/>
        </w:rPr>
        <w:t>.</w:t>
      </w:r>
    </w:p>
    <w:p>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15–ти рабочих дней следующего месяца за отчетным.</w:t>
      </w:r>
    </w:p>
    <w:p>
      <w:pPr>
        <w:spacing w:after="0"/>
      </w:pPr>
      <w:r>
        <w:rPr>
          <w:b/>
        </w:rPr>
        <w:t xml:space="preserve">     11. Требования к поставке товара</w:t>
      </w:r>
      <w:r>
        <w:rPr>
          <w:rFonts w:eastAsia="Calibri"/>
          <w:b/>
        </w:rPr>
        <w:t xml:space="preserve">: </w:t>
      </w:r>
    </w:p>
    <w:p>
      <w:pPr>
        <w:widowControl w:val="0"/>
        <w:autoSpaceDE w:val="0"/>
        <w:autoSpaceDN w:val="0"/>
        <w:adjustRightInd w:val="0"/>
        <w:spacing w:after="0"/>
        <w:ind w:left="567" w:hanging="28"/>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t>При поставке пищевых продуктов должны соблюдаться следующие требования:</w:t>
      </w:r>
    </w:p>
    <w:p>
      <w:pPr>
        <w:pStyle w:val="8"/>
        <w:widowControl w:val="0"/>
        <w:numPr>
          <w:ilvl w:val="0"/>
          <w:numId w:val="2"/>
        </w:numPr>
        <w:autoSpaceDE w:val="0"/>
        <w:autoSpaceDN w:val="0"/>
        <w:adjustRightInd w:val="0"/>
        <w:spacing w:after="0"/>
        <w:rPr>
          <w:b/>
          <w:bCs/>
          <w:i/>
          <w:iCs/>
        </w:rPr>
      </w:pPr>
      <w:r>
        <w:rPr>
          <w:b/>
          <w:bCs/>
          <w:i/>
          <w:iCs/>
        </w:rPr>
        <w:t>Стандарт товаров</w:t>
      </w:r>
    </w:p>
    <w:p>
      <w:pPr>
        <w:widowControl w:val="0"/>
        <w:autoSpaceDE w:val="0"/>
        <w:autoSpaceDN w:val="0"/>
        <w:adjustRightInd w:val="0"/>
        <w:spacing w:after="0"/>
        <w:ind w:firstLine="539"/>
      </w:pPr>
      <w:r>
        <w:t>1.1.</w:t>
      </w:r>
      <w:r>
        <w:tab/>
      </w:r>
      <w:r>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pPr>
        <w:widowControl w:val="0"/>
        <w:autoSpaceDE w:val="0"/>
        <w:autoSpaceDN w:val="0"/>
        <w:adjustRightInd w:val="0"/>
        <w:spacing w:after="0"/>
        <w:ind w:firstLine="539"/>
      </w:pPr>
      <w:r>
        <w:t>1.2.</w:t>
      </w:r>
      <w:r>
        <w:tab/>
      </w:r>
      <w:r>
        <w:t xml:space="preserve">Органолептические свойства пищевых продуктов не должны изменяться при их хранении, транспортировке и в процессе реализации. </w:t>
      </w:r>
    </w:p>
    <w:p>
      <w:pPr>
        <w:widowControl w:val="0"/>
        <w:autoSpaceDE w:val="0"/>
        <w:autoSpaceDN w:val="0"/>
        <w:adjustRightInd w:val="0"/>
        <w:spacing w:after="0"/>
        <w:ind w:firstLine="539"/>
      </w:pPr>
      <w:r>
        <w:t>1.3.</w:t>
      </w:r>
      <w:r>
        <w:tab/>
      </w:r>
      <w: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pPr>
        <w:widowControl w:val="0"/>
        <w:autoSpaceDE w:val="0"/>
        <w:autoSpaceDN w:val="0"/>
        <w:adjustRightInd w:val="0"/>
        <w:spacing w:after="0"/>
        <w:ind w:firstLine="539"/>
      </w:pPr>
      <w:r>
        <w:t>1.4.</w:t>
      </w:r>
      <w:r>
        <w:tab/>
      </w:r>
      <w: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pPr>
        <w:widowControl w:val="0"/>
        <w:autoSpaceDE w:val="0"/>
        <w:autoSpaceDN w:val="0"/>
        <w:adjustRightInd w:val="0"/>
        <w:spacing w:after="0"/>
        <w:ind w:firstLine="539"/>
      </w:pPr>
      <w:r>
        <w:t>1.5.</w:t>
      </w:r>
      <w:r>
        <w:tab/>
      </w:r>
      <w:r>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 рыбы, выращенной в искусственных водоемах с применением специальных кормов и антибиотиков.</w:t>
      </w:r>
    </w:p>
    <w:p>
      <w:pPr>
        <w:widowControl w:val="0"/>
        <w:autoSpaceDE w:val="0"/>
        <w:autoSpaceDN w:val="0"/>
        <w:adjustRightInd w:val="0"/>
        <w:spacing w:after="0"/>
        <w:ind w:firstLine="539"/>
      </w:pPr>
      <w:r>
        <w:t>1.6.</w:t>
      </w:r>
      <w:r>
        <w:tab/>
      </w:r>
      <w:r>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pPr>
        <w:widowControl w:val="0"/>
        <w:autoSpaceDE w:val="0"/>
        <w:autoSpaceDN w:val="0"/>
        <w:adjustRightInd w:val="0"/>
        <w:spacing w:after="0"/>
        <w:ind w:firstLine="539"/>
      </w:pPr>
      <w:r>
        <w:t>1.7.</w:t>
      </w:r>
      <w:r>
        <w:tab/>
      </w:r>
      <w:r>
        <w:t xml:space="preserve">Поставка пищевых продуктов осуществляется Поставщиком по заявкам Заказчика, оформленной письменно или по телефону в </w:t>
      </w:r>
      <w:r>
        <w:rPr>
          <w:lang w:val="en-US"/>
        </w:rPr>
        <w:t>I</w:t>
      </w:r>
      <w:r>
        <w:t xml:space="preserve"> половине дня, за один день до дня поставки товара,согласно графика поставки.</w:t>
      </w:r>
    </w:p>
    <w:p>
      <w:pPr>
        <w:widowControl w:val="0"/>
        <w:autoSpaceDE w:val="0"/>
        <w:autoSpaceDN w:val="0"/>
        <w:adjustRightInd w:val="0"/>
        <w:spacing w:after="0"/>
        <w:ind w:firstLine="539"/>
      </w:pPr>
      <w:r>
        <w:t>1.8.</w:t>
      </w:r>
      <w:r>
        <w:tab/>
      </w:r>
      <w:r>
        <w:t>Качество пищевых продуктов, поставляемых в государственные учреждения/организации, должно соответствовать требованиям, указанным настоящим Техническим заданием. Поставка пищевых продуктов с показателями качества, ниже приведенных в Техническом задании, не допускается.</w:t>
      </w:r>
    </w:p>
    <w:p>
      <w:pPr>
        <w:widowControl w:val="0"/>
        <w:autoSpaceDE w:val="0"/>
        <w:autoSpaceDN w:val="0"/>
        <w:adjustRightInd w:val="0"/>
        <w:spacing w:after="0"/>
        <w:ind w:firstLine="539"/>
      </w:pPr>
      <w:r>
        <w:t>1.09.</w:t>
      </w:r>
      <w:r>
        <w:tab/>
      </w:r>
      <w:r>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декларации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pPr>
        <w:widowControl w:val="0"/>
        <w:autoSpaceDE w:val="0"/>
        <w:autoSpaceDN w:val="0"/>
        <w:adjustRightInd w:val="0"/>
        <w:spacing w:after="0"/>
        <w:ind w:firstLine="539"/>
      </w:pPr>
      <w:r>
        <w:t>1.10.</w:t>
      </w:r>
      <w:r>
        <w:tab/>
      </w:r>
      <w: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pPr>
        <w:widowControl w:val="0"/>
        <w:autoSpaceDE w:val="0"/>
        <w:autoSpaceDN w:val="0"/>
        <w:adjustRightInd w:val="0"/>
        <w:spacing w:after="0"/>
        <w:ind w:firstLine="539"/>
      </w:pPr>
      <w:r>
        <w:t>– наименование предприятия-упаковщика, его фактический адрес;</w:t>
      </w:r>
    </w:p>
    <w:p>
      <w:pPr>
        <w:widowControl w:val="0"/>
        <w:autoSpaceDE w:val="0"/>
        <w:autoSpaceDN w:val="0"/>
        <w:adjustRightInd w:val="0"/>
        <w:spacing w:after="0"/>
        <w:ind w:firstLine="539"/>
      </w:pPr>
      <w:r>
        <w:t>– дата упаковки;</w:t>
      </w:r>
    </w:p>
    <w:p>
      <w:pPr>
        <w:widowControl w:val="0"/>
        <w:autoSpaceDE w:val="0"/>
        <w:autoSpaceDN w:val="0"/>
        <w:adjustRightInd w:val="0"/>
        <w:spacing w:after="0"/>
        <w:ind w:firstLine="539"/>
      </w:pPr>
      <w:r>
        <w:t>– дата и время упаковки (для продуктов, срок годности которых исчисляется часами);</w:t>
      </w:r>
    </w:p>
    <w:p>
      <w:pPr>
        <w:widowControl w:val="0"/>
        <w:autoSpaceDE w:val="0"/>
        <w:autoSpaceDN w:val="0"/>
        <w:adjustRightInd w:val="0"/>
        <w:spacing w:after="0"/>
        <w:ind w:firstLine="539"/>
      </w:pPr>
      <w:r>
        <w:t>– срок годности после вскрытия (для скоропортящихся продуктов, срок годности которых исчисляется часами).</w:t>
      </w:r>
    </w:p>
    <w:p>
      <w:pPr>
        <w:widowControl w:val="0"/>
        <w:autoSpaceDE w:val="0"/>
        <w:autoSpaceDN w:val="0"/>
        <w:adjustRightInd w:val="0"/>
        <w:spacing w:after="0"/>
        <w:ind w:firstLine="539"/>
      </w:pPr>
      <w:r>
        <w:t>1.11.</w:t>
      </w:r>
      <w:r>
        <w:tab/>
      </w:r>
      <w:r>
        <w:t xml:space="preserve"> Поставщик должен иметь возможность ежедневной поставки товара, включая выходные и праздничные дни (по заявке заказчика) до 12-00 часов.</w:t>
      </w:r>
    </w:p>
    <w:p>
      <w:pPr>
        <w:widowControl w:val="0"/>
        <w:autoSpaceDE w:val="0"/>
        <w:autoSpaceDN w:val="0"/>
        <w:adjustRightInd w:val="0"/>
        <w:spacing w:after="0"/>
        <w:ind w:firstLine="539"/>
      </w:pPr>
      <w:r>
        <w:t>1.12.</w:t>
      </w:r>
      <w:r>
        <w:tab/>
      </w:r>
      <w:r>
        <w:t>Заказчик вправе отказаться от принятия товара в случае его несоответствия по ассортименту и/или объему заявке.</w:t>
      </w:r>
    </w:p>
    <w:p>
      <w:pPr>
        <w:widowControl w:val="0"/>
        <w:autoSpaceDE w:val="0"/>
        <w:autoSpaceDN w:val="0"/>
        <w:adjustRightInd w:val="0"/>
        <w:spacing w:after="0"/>
      </w:pPr>
    </w:p>
    <w:p>
      <w:pPr>
        <w:pStyle w:val="8"/>
        <w:widowControl w:val="0"/>
        <w:numPr>
          <w:ilvl w:val="0"/>
          <w:numId w:val="2"/>
        </w:numPr>
        <w:autoSpaceDE w:val="0"/>
        <w:autoSpaceDN w:val="0"/>
        <w:adjustRightInd w:val="0"/>
        <w:spacing w:after="0"/>
        <w:rPr>
          <w:b/>
          <w:bCs/>
          <w:i/>
          <w:iCs/>
        </w:rPr>
      </w:pPr>
      <w:r>
        <w:rPr>
          <w:b/>
          <w:bCs/>
          <w:i/>
          <w:iCs/>
        </w:rPr>
        <w:t>Требования к безопасности товаров:</w:t>
      </w:r>
    </w:p>
    <w:p>
      <w:pPr>
        <w:pStyle w:val="8"/>
        <w:widowControl w:val="0"/>
        <w:autoSpaceDE w:val="0"/>
        <w:autoSpaceDN w:val="0"/>
        <w:adjustRightInd w:val="0"/>
        <w:spacing w:after="0"/>
        <w:ind w:left="899"/>
        <w:rPr>
          <w:b/>
          <w:bCs/>
          <w:i/>
          <w:iCs/>
        </w:rPr>
      </w:pPr>
    </w:p>
    <w:p>
      <w:pPr>
        <w:widowControl w:val="0"/>
        <w:autoSpaceDE w:val="0"/>
        <w:autoSpaceDN w:val="0"/>
        <w:adjustRightInd w:val="0"/>
        <w:spacing w:after="0"/>
        <w:ind w:firstLine="539"/>
      </w:pPr>
      <w:r>
        <w:t>2.1.</w:t>
      </w:r>
      <w:r>
        <w:tab/>
      </w:r>
      <w: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pPr>
        <w:widowControl w:val="0"/>
        <w:autoSpaceDE w:val="0"/>
        <w:autoSpaceDN w:val="0"/>
        <w:adjustRightInd w:val="0"/>
        <w:spacing w:after="0"/>
        <w:ind w:firstLine="539"/>
      </w:pPr>
      <w:r>
        <w:t>2.2.</w:t>
      </w:r>
      <w:r>
        <w:tab/>
      </w:r>
      <w: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pPr>
        <w:widowControl w:val="0"/>
        <w:autoSpaceDE w:val="0"/>
        <w:autoSpaceDN w:val="0"/>
        <w:adjustRightInd w:val="0"/>
        <w:spacing w:after="0"/>
        <w:ind w:firstLine="539"/>
      </w:pPr>
      <w:r>
        <w:t>2.3.</w:t>
      </w:r>
      <w:r>
        <w:tab/>
      </w:r>
      <w: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pPr>
        <w:widowControl w:val="0"/>
        <w:autoSpaceDE w:val="0"/>
        <w:autoSpaceDN w:val="0"/>
        <w:adjustRightInd w:val="0"/>
        <w:spacing w:after="0"/>
        <w:ind w:firstLine="539"/>
      </w:pPr>
      <w:r>
        <w:t>2.4.</w:t>
      </w:r>
      <w:r>
        <w:tab/>
      </w:r>
      <w:r>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pPr>
        <w:widowControl w:val="0"/>
        <w:autoSpaceDE w:val="0"/>
        <w:autoSpaceDN w:val="0"/>
        <w:adjustRightInd w:val="0"/>
        <w:spacing w:after="0"/>
        <w:ind w:firstLine="539"/>
      </w:pPr>
      <w:r>
        <w:t>2.5.</w:t>
      </w:r>
      <w:r>
        <w:tab/>
      </w:r>
      <w: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pPr>
        <w:widowControl w:val="0"/>
        <w:autoSpaceDE w:val="0"/>
        <w:autoSpaceDN w:val="0"/>
        <w:adjustRightInd w:val="0"/>
        <w:spacing w:after="0"/>
        <w:ind w:firstLine="539"/>
      </w:pPr>
      <w:r>
        <w:t>2.6.</w:t>
      </w:r>
      <w:r>
        <w:tab/>
      </w:r>
      <w: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pPr>
        <w:widowControl w:val="0"/>
        <w:autoSpaceDE w:val="0"/>
        <w:autoSpaceDN w:val="0"/>
        <w:adjustRightInd w:val="0"/>
        <w:spacing w:after="0"/>
        <w:ind w:firstLine="539"/>
      </w:pPr>
      <w:r>
        <w:t>2.7.</w:t>
      </w:r>
      <w:r>
        <w:tab/>
      </w:r>
      <w: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pPr>
        <w:widowControl w:val="0"/>
        <w:autoSpaceDE w:val="0"/>
        <w:autoSpaceDN w:val="0"/>
        <w:adjustRightInd w:val="0"/>
        <w:spacing w:after="0"/>
        <w:ind w:firstLine="539"/>
      </w:pPr>
      <w:r>
        <w:t>2.8.</w:t>
      </w:r>
      <w:r>
        <w:tab/>
      </w:r>
      <w: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pPr>
        <w:widowControl w:val="0"/>
        <w:autoSpaceDE w:val="0"/>
        <w:autoSpaceDN w:val="0"/>
        <w:adjustRightInd w:val="0"/>
        <w:spacing w:after="0"/>
        <w:ind w:firstLine="539"/>
      </w:pPr>
      <w:r>
        <w:t>2.9.</w:t>
      </w:r>
      <w:r>
        <w:tab/>
      </w:r>
      <w:r>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pPr>
        <w:widowControl w:val="0"/>
        <w:autoSpaceDE w:val="0"/>
        <w:autoSpaceDN w:val="0"/>
        <w:adjustRightInd w:val="0"/>
        <w:spacing w:after="0"/>
        <w:ind w:firstLine="539"/>
      </w:pPr>
      <w:r>
        <w:t>2.10.</w:t>
      </w:r>
      <w:r>
        <w:tab/>
      </w:r>
      <w: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pPr>
        <w:widowControl w:val="0"/>
        <w:autoSpaceDE w:val="0"/>
        <w:autoSpaceDN w:val="0"/>
        <w:adjustRightInd w:val="0"/>
        <w:spacing w:after="0"/>
        <w:ind w:firstLine="539"/>
      </w:pPr>
    </w:p>
    <w:p>
      <w:pPr>
        <w:pStyle w:val="8"/>
        <w:widowControl w:val="0"/>
        <w:numPr>
          <w:ilvl w:val="0"/>
          <w:numId w:val="2"/>
        </w:numPr>
        <w:autoSpaceDE w:val="0"/>
        <w:autoSpaceDN w:val="0"/>
        <w:adjustRightInd w:val="0"/>
        <w:spacing w:after="0"/>
        <w:rPr>
          <w:b/>
          <w:bCs/>
          <w:i/>
          <w:iCs/>
        </w:rPr>
      </w:pPr>
      <w:r>
        <w:rPr>
          <w:b/>
          <w:bCs/>
          <w:i/>
          <w:iCs/>
        </w:rPr>
        <w:t>Требования к используемым материалам и оборудованию</w:t>
      </w:r>
    </w:p>
    <w:p>
      <w:pPr>
        <w:widowControl w:val="0"/>
        <w:autoSpaceDE w:val="0"/>
        <w:autoSpaceDN w:val="0"/>
        <w:adjustRightInd w:val="0"/>
        <w:spacing w:after="0"/>
        <w:ind w:firstLine="539"/>
      </w:pPr>
    </w:p>
    <w:p>
      <w:pPr>
        <w:widowControl w:val="0"/>
        <w:autoSpaceDE w:val="0"/>
        <w:autoSpaceDN w:val="0"/>
        <w:adjustRightInd w:val="0"/>
        <w:spacing w:after="0"/>
        <w:ind w:firstLine="539"/>
      </w:pPr>
      <w:r>
        <w:t>3.1.</w:t>
      </w:r>
      <w:r>
        <w:tab/>
      </w:r>
      <w:r>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pPr>
        <w:widowControl w:val="0"/>
        <w:autoSpaceDE w:val="0"/>
        <w:autoSpaceDN w:val="0"/>
        <w:adjustRightInd w:val="0"/>
        <w:spacing w:after="0"/>
        <w:ind w:firstLine="539"/>
      </w:pPr>
      <w:r>
        <w:t>3.2.</w:t>
      </w:r>
      <w:r>
        <w:tab/>
      </w:r>
      <w:r>
        <w:t xml:space="preserve">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w:t>
      </w:r>
    </w:p>
    <w:p>
      <w:pPr>
        <w:widowControl w:val="0"/>
        <w:autoSpaceDE w:val="0"/>
        <w:autoSpaceDN w:val="0"/>
        <w:adjustRightInd w:val="0"/>
        <w:spacing w:after="0"/>
        <w:ind w:firstLine="539"/>
      </w:pPr>
    </w:p>
    <w:p>
      <w:pPr>
        <w:widowControl w:val="0"/>
        <w:autoSpaceDE w:val="0"/>
        <w:autoSpaceDN w:val="0"/>
        <w:adjustRightInd w:val="0"/>
        <w:spacing w:after="0"/>
        <w:ind w:firstLine="539"/>
      </w:pPr>
      <w:r>
        <w:t>пищевых продуктов, установленных изготовителем.</w:t>
      </w:r>
    </w:p>
    <w:p>
      <w:pPr>
        <w:widowControl w:val="0"/>
        <w:autoSpaceDE w:val="0"/>
        <w:autoSpaceDN w:val="0"/>
        <w:adjustRightInd w:val="0"/>
        <w:spacing w:after="0"/>
        <w:ind w:firstLine="539"/>
      </w:pPr>
      <w:r>
        <w:t>3.3.</w:t>
      </w:r>
      <w:r>
        <w:tab/>
      </w:r>
      <w:r>
        <w:t xml:space="preserve">Продовольственное сырье и готовая продукция при транспортировке не должны контактировать друг с другом. </w:t>
      </w:r>
    </w:p>
    <w:p>
      <w:pPr>
        <w:widowControl w:val="0"/>
        <w:autoSpaceDE w:val="0"/>
        <w:autoSpaceDN w:val="0"/>
        <w:adjustRightInd w:val="0"/>
        <w:spacing w:after="0"/>
        <w:ind w:firstLine="539"/>
      </w:pPr>
      <w:r>
        <w:t>3.4.</w:t>
      </w:r>
      <w:r>
        <w:tab/>
      </w:r>
      <w:r>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pPr>
        <w:widowControl w:val="0"/>
        <w:autoSpaceDE w:val="0"/>
        <w:autoSpaceDN w:val="0"/>
        <w:adjustRightInd w:val="0"/>
        <w:spacing w:after="0"/>
        <w:ind w:firstLine="539"/>
      </w:pPr>
      <w:r>
        <w:t>3.5.</w:t>
      </w:r>
      <w:r>
        <w:tab/>
      </w:r>
      <w: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pPr>
        <w:widowControl w:val="0"/>
        <w:autoSpaceDE w:val="0"/>
        <w:autoSpaceDN w:val="0"/>
        <w:adjustRightInd w:val="0"/>
        <w:spacing w:after="0"/>
        <w:ind w:firstLine="539"/>
      </w:pPr>
      <w:r>
        <w:t>3.6.</w:t>
      </w:r>
      <w:r>
        <w:tab/>
      </w:r>
      <w: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pPr>
        <w:widowControl w:val="0"/>
        <w:autoSpaceDE w:val="0"/>
        <w:autoSpaceDN w:val="0"/>
        <w:adjustRightInd w:val="0"/>
        <w:spacing w:after="0"/>
        <w:ind w:firstLine="539"/>
      </w:pPr>
      <w:r>
        <w:t>3.7.</w:t>
      </w:r>
      <w:r>
        <w:tab/>
      </w:r>
      <w: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pPr>
        <w:widowControl w:val="0"/>
        <w:autoSpaceDE w:val="0"/>
        <w:autoSpaceDN w:val="0"/>
        <w:adjustRightInd w:val="0"/>
        <w:spacing w:after="0"/>
        <w:jc w:val="center"/>
        <w:rPr>
          <w:b/>
          <w:iCs/>
        </w:rPr>
      </w:pPr>
      <w:r>
        <w:rPr>
          <w:b/>
          <w:bCs/>
          <w:iCs/>
        </w:rPr>
        <w:t>4.Требования к качеству, характеристикам товара</w:t>
      </w:r>
    </w:p>
    <w:p>
      <w:pPr>
        <w:spacing w:after="0"/>
        <w:ind w:left="-567"/>
        <w:jc w:val="center"/>
        <w:rPr>
          <w:b/>
          <w:bCs/>
          <w:iCs/>
        </w:rPr>
      </w:pPr>
      <w:r>
        <w:rPr>
          <w:b/>
          <w:bCs/>
          <w:iCs/>
        </w:rPr>
        <w:t>Мясо и мясная продукция</w:t>
      </w:r>
    </w:p>
    <w:p>
      <w:pPr>
        <w:spacing w:after="0"/>
        <w:jc w:val="center"/>
        <w:rPr>
          <w:b/>
          <w:bCs/>
          <w:i/>
        </w:rPr>
      </w:pPr>
    </w:p>
    <w:tbl>
      <w:tblPr>
        <w:tblStyle w:val="4"/>
        <w:tblW w:w="15656" w:type="dxa"/>
        <w:tblInd w:w="-459" w:type="dxa"/>
        <w:tblLayout w:type="fixed"/>
        <w:tblCellMar>
          <w:top w:w="0" w:type="dxa"/>
          <w:left w:w="108" w:type="dxa"/>
          <w:bottom w:w="0" w:type="dxa"/>
          <w:right w:w="108" w:type="dxa"/>
        </w:tblCellMar>
      </w:tblPr>
      <w:tblGrid>
        <w:gridCol w:w="283"/>
        <w:gridCol w:w="2411"/>
        <w:gridCol w:w="5670"/>
        <w:gridCol w:w="1559"/>
        <w:gridCol w:w="1134"/>
        <w:gridCol w:w="850"/>
        <w:gridCol w:w="851"/>
        <w:gridCol w:w="1559"/>
        <w:gridCol w:w="1339"/>
      </w:tblGrid>
      <w:tr>
        <w:tblPrEx>
          <w:tblLayout w:type="fixed"/>
          <w:tblCellMar>
            <w:top w:w="0" w:type="dxa"/>
            <w:left w:w="108" w:type="dxa"/>
            <w:bottom w:w="0" w:type="dxa"/>
            <w:right w:w="108" w:type="dxa"/>
          </w:tblCellMar>
        </w:tblPrEx>
        <w:trPr>
          <w:trHeight w:val="840" w:hRule="atLeast"/>
        </w:trPr>
        <w:tc>
          <w:tcPr>
            <w:tcW w:w="283" w:type="dxa"/>
            <w:tcBorders>
              <w:top w:val="single" w:color="auto" w:sz="8" w:space="0"/>
              <w:left w:val="single" w:color="auto" w:sz="8" w:space="0"/>
              <w:bottom w:val="single" w:color="auto" w:sz="4" w:space="0"/>
              <w:right w:val="single" w:color="auto" w:sz="4" w:space="0"/>
            </w:tcBorders>
            <w:shd w:val="clear" w:color="auto" w:fill="auto"/>
          </w:tcPr>
          <w:p>
            <w:pPr>
              <w:spacing w:after="0"/>
              <w:jc w:val="left"/>
              <w:rPr>
                <w:b/>
                <w:bCs/>
                <w:color w:val="000000"/>
              </w:rPr>
            </w:pPr>
            <w:r>
              <w:rPr>
                <w:b/>
                <w:bCs/>
                <w:color w:val="000000"/>
                <w:sz w:val="22"/>
                <w:szCs w:val="22"/>
              </w:rPr>
              <w:t>№</w:t>
            </w:r>
          </w:p>
        </w:tc>
        <w:tc>
          <w:tcPr>
            <w:tcW w:w="2411" w:type="dxa"/>
            <w:vMerge w:val="restart"/>
            <w:tcBorders>
              <w:top w:val="single" w:color="auto" w:sz="8" w:space="0"/>
              <w:left w:val="single" w:color="auto" w:sz="4" w:space="0"/>
              <w:bottom w:val="single" w:color="000000" w:sz="8" w:space="0"/>
              <w:right w:val="single" w:color="auto" w:sz="4" w:space="0"/>
            </w:tcBorders>
            <w:shd w:val="clear" w:color="auto" w:fill="auto"/>
          </w:tcPr>
          <w:p>
            <w:pPr>
              <w:spacing w:after="0"/>
              <w:jc w:val="left"/>
              <w:rPr>
                <w:b/>
                <w:bCs/>
                <w:color w:val="000000"/>
              </w:rPr>
            </w:pPr>
            <w:r>
              <w:rPr>
                <w:b/>
                <w:bCs/>
                <w:color w:val="000000"/>
                <w:sz w:val="22"/>
                <w:szCs w:val="22"/>
              </w:rPr>
              <w:t>Наименование продуктов</w:t>
            </w:r>
          </w:p>
        </w:tc>
        <w:tc>
          <w:tcPr>
            <w:tcW w:w="5670" w:type="dxa"/>
            <w:vMerge w:val="restart"/>
            <w:tcBorders>
              <w:top w:val="single" w:color="auto" w:sz="8" w:space="0"/>
              <w:left w:val="single" w:color="auto" w:sz="4" w:space="0"/>
              <w:bottom w:val="single" w:color="000000" w:sz="8" w:space="0"/>
              <w:right w:val="single" w:color="auto" w:sz="4" w:space="0"/>
            </w:tcBorders>
            <w:shd w:val="clear" w:color="auto" w:fill="auto"/>
          </w:tcPr>
          <w:p>
            <w:pPr>
              <w:spacing w:after="0"/>
              <w:jc w:val="left"/>
              <w:rPr>
                <w:b/>
                <w:bCs/>
                <w:color w:val="000000"/>
              </w:rPr>
            </w:pPr>
            <w:r>
              <w:rPr>
                <w:b/>
                <w:bCs/>
                <w:color w:val="000000"/>
                <w:sz w:val="22"/>
                <w:szCs w:val="22"/>
              </w:rPr>
              <w:t>Требования к качеству, характеристикам товара</w:t>
            </w:r>
          </w:p>
        </w:tc>
        <w:tc>
          <w:tcPr>
            <w:tcW w:w="1559" w:type="dxa"/>
            <w:vMerge w:val="restart"/>
            <w:tcBorders>
              <w:top w:val="single" w:color="auto" w:sz="8" w:space="0"/>
              <w:left w:val="single" w:color="auto" w:sz="4" w:space="0"/>
              <w:bottom w:val="single" w:color="000000" w:sz="8" w:space="0"/>
              <w:right w:val="single" w:color="auto" w:sz="4" w:space="0"/>
            </w:tcBorders>
            <w:shd w:val="clear" w:color="auto" w:fill="auto"/>
          </w:tcPr>
          <w:p>
            <w:pPr>
              <w:spacing w:after="0"/>
              <w:jc w:val="left"/>
              <w:rPr>
                <w:b/>
                <w:bCs/>
                <w:color w:val="000000"/>
              </w:rPr>
            </w:pPr>
            <w:r>
              <w:rPr>
                <w:b/>
                <w:bCs/>
                <w:color w:val="000000"/>
                <w:sz w:val="22"/>
                <w:szCs w:val="22"/>
              </w:rPr>
              <w:t>Требования к размерам, упаковке, отгрузке товара</w:t>
            </w:r>
          </w:p>
        </w:tc>
        <w:tc>
          <w:tcPr>
            <w:tcW w:w="1134" w:type="dxa"/>
            <w:vMerge w:val="restart"/>
            <w:tcBorders>
              <w:top w:val="single" w:color="auto" w:sz="8" w:space="0"/>
              <w:left w:val="single" w:color="auto" w:sz="4" w:space="0"/>
              <w:bottom w:val="single" w:color="000000" w:sz="8" w:space="0"/>
              <w:right w:val="single" w:color="auto" w:sz="4" w:space="0"/>
            </w:tcBorders>
            <w:shd w:val="clear" w:color="auto" w:fill="auto"/>
          </w:tcPr>
          <w:p>
            <w:pPr>
              <w:spacing w:after="0"/>
              <w:jc w:val="left"/>
              <w:rPr>
                <w:b/>
                <w:bCs/>
                <w:color w:val="000000"/>
              </w:rPr>
            </w:pPr>
            <w:r>
              <w:rPr>
                <w:b/>
                <w:bCs/>
                <w:color w:val="000000"/>
                <w:sz w:val="22"/>
                <w:szCs w:val="22"/>
              </w:rPr>
              <w:t>Страна происхождения продуктов</w:t>
            </w:r>
          </w:p>
        </w:tc>
        <w:tc>
          <w:tcPr>
            <w:tcW w:w="850" w:type="dxa"/>
            <w:vMerge w:val="restart"/>
            <w:tcBorders>
              <w:top w:val="single" w:color="auto" w:sz="8" w:space="0"/>
              <w:left w:val="single" w:color="auto" w:sz="4" w:space="0"/>
              <w:bottom w:val="single" w:color="000000" w:sz="8" w:space="0"/>
              <w:right w:val="single" w:color="auto" w:sz="4" w:space="0"/>
            </w:tcBorders>
            <w:shd w:val="clear" w:color="auto" w:fill="auto"/>
          </w:tcPr>
          <w:p>
            <w:pPr>
              <w:spacing w:after="0"/>
              <w:jc w:val="left"/>
              <w:rPr>
                <w:b/>
                <w:bCs/>
                <w:color w:val="000000"/>
              </w:rPr>
            </w:pPr>
            <w:r>
              <w:rPr>
                <w:b/>
                <w:bCs/>
                <w:color w:val="000000"/>
                <w:sz w:val="22"/>
                <w:szCs w:val="22"/>
              </w:rPr>
              <w:t>Единица измерения</w:t>
            </w:r>
          </w:p>
        </w:tc>
        <w:tc>
          <w:tcPr>
            <w:tcW w:w="851" w:type="dxa"/>
            <w:vMerge w:val="restart"/>
            <w:tcBorders>
              <w:top w:val="single" w:color="auto" w:sz="8" w:space="0"/>
              <w:left w:val="single" w:color="auto" w:sz="4" w:space="0"/>
              <w:bottom w:val="single" w:color="000000" w:sz="8" w:space="0"/>
              <w:right w:val="single" w:color="auto" w:sz="8" w:space="0"/>
            </w:tcBorders>
            <w:shd w:val="clear" w:color="auto" w:fill="auto"/>
          </w:tcPr>
          <w:p>
            <w:pPr>
              <w:spacing w:after="0"/>
              <w:jc w:val="left"/>
              <w:rPr>
                <w:b/>
                <w:bCs/>
                <w:color w:val="000000"/>
              </w:rPr>
            </w:pPr>
            <w:r>
              <w:rPr>
                <w:b/>
                <w:bCs/>
                <w:color w:val="000000"/>
                <w:sz w:val="22"/>
                <w:szCs w:val="22"/>
              </w:rPr>
              <w:t xml:space="preserve">Объем </w:t>
            </w:r>
          </w:p>
        </w:tc>
        <w:tc>
          <w:tcPr>
            <w:tcW w:w="1559" w:type="dxa"/>
            <w:vMerge w:val="restart"/>
            <w:tcBorders>
              <w:top w:val="single" w:color="auto" w:sz="8" w:space="0"/>
              <w:left w:val="single" w:color="auto" w:sz="4" w:space="0"/>
              <w:right w:val="single" w:color="auto" w:sz="8" w:space="0"/>
            </w:tcBorders>
          </w:tcPr>
          <w:p>
            <w:pPr>
              <w:spacing w:after="0"/>
              <w:jc w:val="left"/>
              <w:rPr>
                <w:b/>
                <w:bCs/>
                <w:color w:val="000000"/>
              </w:rPr>
            </w:pPr>
            <w:r>
              <w:rPr>
                <w:b/>
                <w:bCs/>
                <w:color w:val="000000"/>
                <w:sz w:val="22"/>
                <w:szCs w:val="22"/>
              </w:rPr>
              <w:t>Код по КОЗ</w:t>
            </w:r>
          </w:p>
        </w:tc>
        <w:tc>
          <w:tcPr>
            <w:tcW w:w="1339" w:type="dxa"/>
            <w:tcBorders>
              <w:top w:val="single" w:color="auto" w:sz="8" w:space="0"/>
              <w:left w:val="single" w:color="auto" w:sz="4" w:space="0"/>
              <w:right w:val="single" w:color="auto" w:sz="8" w:space="0"/>
            </w:tcBorders>
          </w:tcPr>
          <w:p>
            <w:pPr>
              <w:spacing w:after="0"/>
              <w:jc w:val="left"/>
              <w:rPr>
                <w:b/>
                <w:bCs/>
                <w:color w:val="000000"/>
              </w:rPr>
            </w:pPr>
            <w:r>
              <w:rPr>
                <w:b/>
                <w:bCs/>
                <w:color w:val="000000"/>
                <w:sz w:val="22"/>
                <w:szCs w:val="22"/>
              </w:rPr>
              <w:t>ОКПД2</w:t>
            </w:r>
          </w:p>
        </w:tc>
      </w:tr>
      <w:tr>
        <w:tblPrEx>
          <w:tblLayout w:type="fixed"/>
          <w:tblCellMar>
            <w:top w:w="0" w:type="dxa"/>
            <w:left w:w="108" w:type="dxa"/>
            <w:bottom w:w="0" w:type="dxa"/>
            <w:right w:w="108" w:type="dxa"/>
          </w:tblCellMar>
        </w:tblPrEx>
        <w:trPr>
          <w:trHeight w:val="380" w:hRule="atLeast"/>
        </w:trPr>
        <w:tc>
          <w:tcPr>
            <w:tcW w:w="283" w:type="dxa"/>
            <w:tcBorders>
              <w:top w:val="nil"/>
              <w:left w:val="single" w:color="auto" w:sz="8" w:space="0"/>
              <w:bottom w:val="single" w:color="auto" w:sz="8" w:space="0"/>
              <w:right w:val="single" w:color="auto" w:sz="4" w:space="0"/>
            </w:tcBorders>
            <w:shd w:val="clear" w:color="auto" w:fill="auto"/>
          </w:tcPr>
          <w:p>
            <w:pPr>
              <w:spacing w:after="0"/>
              <w:jc w:val="left"/>
              <w:rPr>
                <w:b/>
                <w:bCs/>
                <w:color w:val="000000"/>
              </w:rPr>
            </w:pPr>
            <w:r>
              <w:rPr>
                <w:b/>
                <w:bCs/>
                <w:color w:val="000000"/>
                <w:sz w:val="22"/>
                <w:szCs w:val="22"/>
              </w:rPr>
              <w:t>п/п</w:t>
            </w:r>
          </w:p>
        </w:tc>
        <w:tc>
          <w:tcPr>
            <w:tcW w:w="2411" w:type="dxa"/>
            <w:vMerge w:val="continue"/>
            <w:tcBorders>
              <w:top w:val="single" w:color="auto" w:sz="8" w:space="0"/>
              <w:left w:val="single" w:color="auto" w:sz="4" w:space="0"/>
              <w:bottom w:val="single" w:color="000000" w:sz="8" w:space="0"/>
              <w:right w:val="single" w:color="auto" w:sz="4" w:space="0"/>
            </w:tcBorders>
            <w:vAlign w:val="center"/>
          </w:tcPr>
          <w:p>
            <w:pPr>
              <w:spacing w:after="0"/>
              <w:jc w:val="left"/>
              <w:rPr>
                <w:b/>
                <w:bCs/>
                <w:color w:val="000000"/>
              </w:rPr>
            </w:pPr>
          </w:p>
        </w:tc>
        <w:tc>
          <w:tcPr>
            <w:tcW w:w="5670" w:type="dxa"/>
            <w:vMerge w:val="continue"/>
            <w:tcBorders>
              <w:top w:val="single" w:color="auto" w:sz="8" w:space="0"/>
              <w:left w:val="single" w:color="auto" w:sz="4" w:space="0"/>
              <w:bottom w:val="single" w:color="000000" w:sz="8" w:space="0"/>
              <w:right w:val="single" w:color="auto" w:sz="4" w:space="0"/>
            </w:tcBorders>
            <w:vAlign w:val="center"/>
          </w:tcPr>
          <w:p>
            <w:pPr>
              <w:spacing w:after="0"/>
              <w:jc w:val="left"/>
              <w:rPr>
                <w:b/>
                <w:bCs/>
                <w:color w:val="000000"/>
              </w:rPr>
            </w:pPr>
          </w:p>
        </w:tc>
        <w:tc>
          <w:tcPr>
            <w:tcW w:w="1559" w:type="dxa"/>
            <w:vMerge w:val="continue"/>
            <w:tcBorders>
              <w:top w:val="single" w:color="auto" w:sz="8" w:space="0"/>
              <w:left w:val="single" w:color="auto" w:sz="4" w:space="0"/>
              <w:bottom w:val="single" w:color="000000" w:sz="8" w:space="0"/>
              <w:right w:val="single" w:color="auto" w:sz="4" w:space="0"/>
            </w:tcBorders>
            <w:vAlign w:val="center"/>
          </w:tcPr>
          <w:p>
            <w:pPr>
              <w:spacing w:after="0"/>
              <w:jc w:val="left"/>
              <w:rPr>
                <w:b/>
                <w:bCs/>
                <w:color w:val="000000"/>
              </w:rPr>
            </w:pPr>
          </w:p>
        </w:tc>
        <w:tc>
          <w:tcPr>
            <w:tcW w:w="1134" w:type="dxa"/>
            <w:vMerge w:val="continue"/>
            <w:tcBorders>
              <w:top w:val="single" w:color="auto" w:sz="8" w:space="0"/>
              <w:left w:val="single" w:color="auto" w:sz="4" w:space="0"/>
              <w:bottom w:val="single" w:color="000000" w:sz="8" w:space="0"/>
              <w:right w:val="single" w:color="auto" w:sz="4" w:space="0"/>
            </w:tcBorders>
            <w:vAlign w:val="center"/>
          </w:tcPr>
          <w:p>
            <w:pPr>
              <w:spacing w:after="0"/>
              <w:jc w:val="left"/>
              <w:rPr>
                <w:b/>
                <w:bCs/>
                <w:color w:val="000000"/>
              </w:rPr>
            </w:pPr>
          </w:p>
        </w:tc>
        <w:tc>
          <w:tcPr>
            <w:tcW w:w="850" w:type="dxa"/>
            <w:vMerge w:val="continue"/>
            <w:tcBorders>
              <w:top w:val="single" w:color="auto" w:sz="8" w:space="0"/>
              <w:left w:val="single" w:color="auto" w:sz="4" w:space="0"/>
              <w:bottom w:val="single" w:color="000000" w:sz="8" w:space="0"/>
              <w:right w:val="single" w:color="auto" w:sz="4" w:space="0"/>
            </w:tcBorders>
            <w:vAlign w:val="center"/>
          </w:tcPr>
          <w:p>
            <w:pPr>
              <w:spacing w:after="0"/>
              <w:jc w:val="left"/>
              <w:rPr>
                <w:b/>
                <w:bCs/>
                <w:color w:val="000000"/>
              </w:rPr>
            </w:pPr>
          </w:p>
        </w:tc>
        <w:tc>
          <w:tcPr>
            <w:tcW w:w="851" w:type="dxa"/>
            <w:vMerge w:val="continue"/>
            <w:tcBorders>
              <w:top w:val="single" w:color="auto" w:sz="8" w:space="0"/>
              <w:left w:val="single" w:color="auto" w:sz="4" w:space="0"/>
              <w:bottom w:val="single" w:color="000000" w:sz="8" w:space="0"/>
              <w:right w:val="single" w:color="auto" w:sz="8" w:space="0"/>
            </w:tcBorders>
            <w:vAlign w:val="center"/>
          </w:tcPr>
          <w:p>
            <w:pPr>
              <w:spacing w:after="0"/>
              <w:jc w:val="left"/>
              <w:rPr>
                <w:b/>
                <w:bCs/>
                <w:color w:val="000000"/>
              </w:rPr>
            </w:pPr>
          </w:p>
        </w:tc>
        <w:tc>
          <w:tcPr>
            <w:tcW w:w="1559" w:type="dxa"/>
            <w:vMerge w:val="continue"/>
            <w:tcBorders>
              <w:left w:val="single" w:color="auto" w:sz="4" w:space="0"/>
              <w:bottom w:val="single" w:color="000000" w:sz="8" w:space="0"/>
              <w:right w:val="single" w:color="auto" w:sz="8" w:space="0"/>
            </w:tcBorders>
          </w:tcPr>
          <w:p>
            <w:pPr>
              <w:spacing w:after="0"/>
              <w:jc w:val="left"/>
              <w:rPr>
                <w:b/>
                <w:bCs/>
                <w:color w:val="000000"/>
              </w:rPr>
            </w:pPr>
          </w:p>
        </w:tc>
        <w:tc>
          <w:tcPr>
            <w:tcW w:w="1339" w:type="dxa"/>
            <w:tcBorders>
              <w:left w:val="single" w:color="auto" w:sz="4" w:space="0"/>
              <w:bottom w:val="single" w:color="000000" w:sz="8" w:space="0"/>
              <w:right w:val="single" w:color="auto" w:sz="8" w:space="0"/>
            </w:tcBorders>
          </w:tcPr>
          <w:p>
            <w:pPr>
              <w:spacing w:after="0"/>
              <w:jc w:val="left"/>
              <w:rPr>
                <w:b/>
                <w:bCs/>
                <w:color w:val="000000"/>
              </w:rPr>
            </w:pPr>
          </w:p>
        </w:tc>
      </w:tr>
      <w:tr>
        <w:tblPrEx>
          <w:tblLayout w:type="fixed"/>
          <w:tblCellMar>
            <w:top w:w="0" w:type="dxa"/>
            <w:left w:w="108" w:type="dxa"/>
            <w:bottom w:w="0" w:type="dxa"/>
            <w:right w:w="108" w:type="dxa"/>
          </w:tblCellMar>
        </w:tblPrEx>
        <w:trPr>
          <w:trHeight w:val="689" w:hRule="atLeast"/>
        </w:trPr>
        <w:tc>
          <w:tcPr>
            <w:tcW w:w="283" w:type="dxa"/>
            <w:tcBorders>
              <w:top w:val="nil"/>
              <w:left w:val="single" w:color="auto" w:sz="4" w:space="0"/>
              <w:bottom w:val="single" w:color="auto" w:sz="4" w:space="0"/>
              <w:right w:val="single" w:color="auto" w:sz="4" w:space="0"/>
            </w:tcBorders>
            <w:shd w:val="clear" w:color="auto" w:fill="auto"/>
          </w:tcPr>
          <w:p>
            <w:pPr>
              <w:spacing w:after="0"/>
              <w:jc w:val="left"/>
              <w:rPr>
                <w:color w:val="000000"/>
              </w:rPr>
            </w:pPr>
            <w:r>
              <w:rPr>
                <w:color w:val="000000"/>
                <w:sz w:val="22"/>
                <w:szCs w:val="22"/>
              </w:rPr>
              <w:t>1</w:t>
            </w:r>
          </w:p>
        </w:tc>
        <w:tc>
          <w:tcPr>
            <w:tcW w:w="2411" w:type="dxa"/>
            <w:tcBorders>
              <w:top w:val="nil"/>
              <w:left w:val="nil"/>
              <w:bottom w:val="single" w:color="auto" w:sz="4" w:space="0"/>
              <w:right w:val="single" w:color="auto" w:sz="4" w:space="0"/>
            </w:tcBorders>
            <w:shd w:val="clear" w:color="auto" w:fill="auto"/>
          </w:tcPr>
          <w:p>
            <w:pPr>
              <w:spacing w:after="0"/>
              <w:jc w:val="left"/>
              <w:rPr>
                <w:color w:val="000000"/>
              </w:rPr>
            </w:pPr>
            <w:r>
              <w:rPr>
                <w:color w:val="000000"/>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Pr>
                <w:color w:val="000000"/>
              </w:rPr>
              <w:br w:type="textWrapping"/>
            </w:r>
            <w:r>
              <w:rPr>
                <w:color w:val="000000"/>
              </w:rPr>
              <w:t>ГОСТ Р 54754-2011</w:t>
            </w:r>
            <w:r>
              <w:rPr>
                <w:color w:val="000000"/>
              </w:rPr>
              <w:br w:type="textWrapping"/>
            </w:r>
            <w:r>
              <w:rPr>
                <w:color w:val="000000"/>
              </w:rPr>
              <w:t xml:space="preserve"> При наличии Свидетельства о государственной регистрации продукции для детского питания</w:t>
            </w:r>
          </w:p>
        </w:tc>
        <w:tc>
          <w:tcPr>
            <w:tcW w:w="5670" w:type="dxa"/>
            <w:tcBorders>
              <w:top w:val="nil"/>
              <w:left w:val="nil"/>
              <w:bottom w:val="single" w:color="auto" w:sz="4" w:space="0"/>
              <w:right w:val="single" w:color="auto" w:sz="4" w:space="0"/>
            </w:tcBorders>
            <w:shd w:val="clear" w:color="auto" w:fill="auto"/>
          </w:tcPr>
          <w:p>
            <w:pPr>
              <w:spacing w:after="0" w:line="276" w:lineRule="auto"/>
              <w:rPr>
                <w:lang w:eastAsia="en-US"/>
              </w:rPr>
            </w:pPr>
            <w:r>
              <w:rPr>
                <w:sz w:val="22"/>
                <w:szCs w:val="22"/>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pPr>
              <w:spacing w:after="0" w:line="276" w:lineRule="auto"/>
              <w:rPr>
                <w:lang w:eastAsia="en-US"/>
              </w:rPr>
            </w:pPr>
            <w:r>
              <w:rPr>
                <w:sz w:val="22"/>
                <w:szCs w:val="22"/>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lang w:eastAsia="en-US"/>
              </w:rPr>
              <w:t xml:space="preserve">0 </w:t>
            </w:r>
            <w:r>
              <w:rPr>
                <w:sz w:val="22"/>
                <w:szCs w:val="22"/>
                <w:lang w:eastAsia="en-US"/>
              </w:rPr>
              <w:t xml:space="preserve">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pPr>
              <w:spacing w:after="0" w:line="276" w:lineRule="auto"/>
              <w:rPr>
                <w:lang w:eastAsia="en-US"/>
              </w:rPr>
            </w:pPr>
            <w:r>
              <w:rPr>
                <w:sz w:val="22"/>
                <w:szCs w:val="22"/>
                <w:lang w:eastAsia="en-US"/>
              </w:rPr>
              <w:t>Массовая доля белка не менее 13%</w:t>
            </w:r>
          </w:p>
          <w:p>
            <w:pPr>
              <w:spacing w:after="0" w:line="276" w:lineRule="auto"/>
              <w:rPr>
                <w:lang w:eastAsia="en-US"/>
              </w:rPr>
            </w:pPr>
            <w:r>
              <w:rPr>
                <w:sz w:val="22"/>
                <w:szCs w:val="22"/>
                <w:lang w:eastAsia="en-US"/>
              </w:rPr>
              <w:t>Массовая доля жира не более 15%</w:t>
            </w:r>
          </w:p>
          <w:p>
            <w:pPr>
              <w:spacing w:after="0"/>
              <w:rPr>
                <w:color w:val="000000"/>
              </w:rPr>
            </w:pPr>
          </w:p>
        </w:tc>
        <w:tc>
          <w:tcPr>
            <w:tcW w:w="1559" w:type="dxa"/>
            <w:tcBorders>
              <w:top w:val="nil"/>
              <w:left w:val="nil"/>
              <w:bottom w:val="single" w:color="auto" w:sz="4" w:space="0"/>
              <w:right w:val="single" w:color="auto" w:sz="4" w:space="0"/>
            </w:tcBorders>
            <w:shd w:val="clear" w:color="auto" w:fill="auto"/>
          </w:tcPr>
          <w:p>
            <w:pPr>
              <w:spacing w:after="0"/>
              <w:rPr>
                <w:color w:val="000000"/>
              </w:rPr>
            </w:pPr>
            <w:r>
              <w:rPr>
                <w:color w:val="000000"/>
                <w:sz w:val="22"/>
                <w:szCs w:val="22"/>
              </w:rPr>
              <w:t xml:space="preserve"> Фасовка – в вакуумной упаковке до 5 кг, завоз и отгрузка силами Поставщика до пищеблока Заказчика</w:t>
            </w:r>
          </w:p>
        </w:tc>
        <w:tc>
          <w:tcPr>
            <w:tcW w:w="1134" w:type="dxa"/>
            <w:tcBorders>
              <w:top w:val="nil"/>
              <w:left w:val="nil"/>
              <w:bottom w:val="single" w:color="auto" w:sz="4" w:space="0"/>
              <w:right w:val="single" w:color="auto" w:sz="4" w:space="0"/>
            </w:tcBorders>
            <w:shd w:val="clear" w:color="auto" w:fill="auto"/>
          </w:tcPr>
          <w:p>
            <w:pPr>
              <w:spacing w:after="0"/>
              <w:jc w:val="center"/>
              <w:rPr>
                <w:color w:val="000000"/>
              </w:rPr>
            </w:pPr>
            <w:r>
              <w:rPr>
                <w:color w:val="000000"/>
                <w:sz w:val="22"/>
                <w:szCs w:val="22"/>
              </w:rPr>
              <w:t>Россия</w:t>
            </w:r>
          </w:p>
        </w:tc>
        <w:tc>
          <w:tcPr>
            <w:tcW w:w="850" w:type="dxa"/>
            <w:tcBorders>
              <w:top w:val="nil"/>
              <w:left w:val="nil"/>
              <w:bottom w:val="single" w:color="auto" w:sz="4" w:space="0"/>
              <w:right w:val="single" w:color="auto" w:sz="4" w:space="0"/>
            </w:tcBorders>
            <w:shd w:val="clear" w:color="auto" w:fill="auto"/>
          </w:tcPr>
          <w:p>
            <w:pPr>
              <w:spacing w:after="0"/>
              <w:jc w:val="center"/>
              <w:rPr>
                <w:color w:val="000000"/>
              </w:rPr>
            </w:pPr>
            <w:r>
              <w:rPr>
                <w:color w:val="000000"/>
                <w:sz w:val="22"/>
                <w:szCs w:val="22"/>
              </w:rPr>
              <w:t>кг</w:t>
            </w:r>
          </w:p>
        </w:tc>
        <w:tc>
          <w:tcPr>
            <w:tcW w:w="851" w:type="dxa"/>
            <w:tcBorders>
              <w:top w:val="nil"/>
              <w:left w:val="nil"/>
              <w:bottom w:val="single" w:color="auto" w:sz="4" w:space="0"/>
              <w:right w:val="single" w:color="auto" w:sz="4" w:space="0"/>
            </w:tcBorders>
            <w:shd w:val="clear" w:color="auto" w:fill="auto"/>
          </w:tcPr>
          <w:p>
            <w:pPr>
              <w:spacing w:after="0"/>
              <w:jc w:val="left"/>
              <w:rPr>
                <w:color w:val="000000"/>
                <w:lang w:val="ru-RU"/>
              </w:rPr>
            </w:pPr>
            <w:r>
              <w:rPr>
                <w:color w:val="000000"/>
                <w:sz w:val="22"/>
                <w:szCs w:val="22"/>
                <w:lang w:val="ru-RU"/>
              </w:rPr>
              <w:t>250</w:t>
            </w:r>
          </w:p>
        </w:tc>
        <w:tc>
          <w:tcPr>
            <w:tcW w:w="1559" w:type="dxa"/>
            <w:tcBorders>
              <w:top w:val="nil"/>
              <w:left w:val="nil"/>
              <w:bottom w:val="single" w:color="auto" w:sz="4" w:space="0"/>
              <w:right w:val="single" w:color="auto" w:sz="4" w:space="0"/>
            </w:tcBorders>
          </w:tcPr>
          <w:p>
            <w:pPr>
              <w:spacing w:after="0"/>
              <w:jc w:val="left"/>
              <w:rPr>
                <w:color w:val="000000"/>
              </w:rPr>
            </w:pPr>
            <w:r>
              <w:rPr>
                <w:color w:val="000000"/>
              </w:rPr>
              <w:t>01.13.05.01.01.02.01</w:t>
            </w:r>
          </w:p>
          <w:p>
            <w:pPr>
              <w:spacing w:after="0"/>
              <w:jc w:val="left"/>
              <w:rPr>
                <w:color w:val="000000"/>
              </w:rPr>
            </w:pPr>
            <w:r>
              <w:rPr>
                <w:color w:val="000000"/>
              </w:rPr>
              <w:t xml:space="preserve">Говядина </w:t>
            </w:r>
          </w:p>
          <w:p>
            <w:pPr>
              <w:spacing w:after="0"/>
              <w:jc w:val="left"/>
              <w:rPr>
                <w:color w:val="000000"/>
              </w:rPr>
            </w:pPr>
            <w:r>
              <w:rPr>
                <w:color w:val="000000"/>
              </w:rPr>
              <w:t>замороженная первого сорта</w:t>
            </w:r>
          </w:p>
        </w:tc>
        <w:tc>
          <w:tcPr>
            <w:tcW w:w="1339" w:type="dxa"/>
            <w:tcBorders>
              <w:top w:val="nil"/>
              <w:left w:val="nil"/>
              <w:bottom w:val="single" w:color="auto" w:sz="4" w:space="0"/>
              <w:right w:val="single" w:color="auto" w:sz="4" w:space="0"/>
            </w:tcBorders>
          </w:tcPr>
          <w:p>
            <w:pPr>
              <w:spacing w:after="0"/>
              <w:jc w:val="left"/>
              <w:rPr>
                <w:color w:val="000000"/>
              </w:rPr>
            </w:pPr>
            <w:r>
              <w:rPr>
                <w:color w:val="000000"/>
              </w:rPr>
              <w:t>10.11.31.110 - Говядина замороженная</w:t>
            </w:r>
          </w:p>
        </w:tc>
      </w:tr>
      <w:tr>
        <w:tblPrEx>
          <w:tblLayout w:type="fixed"/>
          <w:tblCellMar>
            <w:top w:w="0" w:type="dxa"/>
            <w:left w:w="108" w:type="dxa"/>
            <w:bottom w:w="0" w:type="dxa"/>
            <w:right w:w="108" w:type="dxa"/>
          </w:tblCellMar>
        </w:tblPrEx>
        <w:trPr>
          <w:trHeight w:val="2252" w:hRule="atLeast"/>
        </w:trPr>
        <w:tc>
          <w:tcPr>
            <w:tcW w:w="283" w:type="dxa"/>
            <w:tcBorders>
              <w:top w:val="nil"/>
              <w:left w:val="single" w:color="auto" w:sz="4" w:space="0"/>
              <w:bottom w:val="single" w:color="auto" w:sz="4" w:space="0"/>
              <w:right w:val="single" w:color="auto" w:sz="4" w:space="0"/>
            </w:tcBorders>
            <w:shd w:val="clear" w:color="auto" w:fill="auto"/>
          </w:tcPr>
          <w:p>
            <w:pPr>
              <w:spacing w:after="0"/>
              <w:jc w:val="left"/>
              <w:rPr>
                <w:color w:val="000000"/>
              </w:rPr>
            </w:pPr>
            <w:r>
              <w:rPr>
                <w:color w:val="000000"/>
                <w:sz w:val="22"/>
                <w:szCs w:val="22"/>
              </w:rPr>
              <w:t>2</w:t>
            </w:r>
          </w:p>
        </w:tc>
        <w:tc>
          <w:tcPr>
            <w:tcW w:w="2411" w:type="dxa"/>
            <w:tcBorders>
              <w:top w:val="nil"/>
              <w:left w:val="nil"/>
              <w:bottom w:val="single" w:color="auto" w:sz="4" w:space="0"/>
              <w:right w:val="single" w:color="auto" w:sz="4" w:space="0"/>
            </w:tcBorders>
            <w:shd w:val="clear" w:color="auto" w:fill="auto"/>
          </w:tcPr>
          <w:p>
            <w:pPr>
              <w:spacing w:after="0"/>
              <w:jc w:val="left"/>
              <w:rPr>
                <w:color w:val="000000"/>
              </w:rPr>
            </w:pPr>
            <w:r>
              <w:rPr>
                <w:color w:val="000000"/>
              </w:rPr>
              <w:t>Тушки цыплят-бройлеров потрошенные охлажденные, замороженные</w:t>
            </w:r>
            <w:r>
              <w:rPr>
                <w:color w:val="000000"/>
              </w:rPr>
              <w:br w:type="textWrapping"/>
            </w:r>
            <w:r>
              <w:rPr>
                <w:color w:val="000000"/>
              </w:rPr>
              <w:t>ГОСТ 32737-2014.</w:t>
            </w:r>
            <w:r>
              <w:rPr>
                <w:color w:val="000000"/>
              </w:rPr>
              <w:br w:type="textWrapping"/>
            </w:r>
            <w:r>
              <w:rPr>
                <w:color w:val="000000"/>
              </w:rPr>
              <w:t>При наличии Свидетельства о государственной регистрации продукции для детского питания</w:t>
            </w:r>
          </w:p>
        </w:tc>
        <w:tc>
          <w:tcPr>
            <w:tcW w:w="5670" w:type="dxa"/>
            <w:tcBorders>
              <w:top w:val="nil"/>
              <w:left w:val="nil"/>
              <w:bottom w:val="single" w:color="auto" w:sz="4" w:space="0"/>
              <w:right w:val="single" w:color="auto" w:sz="4" w:space="0"/>
            </w:tcBorders>
            <w:shd w:val="clear" w:color="auto" w:fill="auto"/>
          </w:tcPr>
          <w:p>
            <w:pPr>
              <w:spacing w:after="0"/>
              <w:rPr>
                <w:color w:val="000000"/>
              </w:rPr>
            </w:pPr>
            <w:r>
              <w:rPr>
                <w:color w:val="000000"/>
              </w:rPr>
              <w:t>Тушки цыплят-бройлеров, замороженные, потрошенные отечественные (без повторной заморозки), ГОСТ 32737-2014.Сорт первый. Тушки должны соответствовать следующим требованиям: хорошо обескровлены, чистые, без посторонних включений, без посторонних запахов, без  фекальных загрязнений, без видимых кровяных сгустков, без остатков  кишечника  и  клоаки, трахеи, пищевода, зрелых продуктивных органов, без холодильных ожогов, пятен от разлитой желчи.  Упитанность: мышцы развиты хорошо. Форма груди округлая. Киль грудной кости не выделяется.  Запах (после размораживания), свойственный свежему мясу данного вида птицы. Цвет мышечной ткани от бледно-розового до розового.  Цвет кожи должен быть бледно-желтый с розовым оттенком или без него.  Цвет подкожного и внутреннего жира бледно-желтый или желтый. Состояние кожи: кожа должна быть чистая, без разрывов, царапин, пятен, ссадин и кровоподтеков. Состояние костной системы: костная система без переломов и деформаций. Киль грудной кости окостеневший, хрящевидный легко сгибаемый. Допускается незначительное искривление киля грудной кости. При поставке товара Поставщик учитывает содержание льда, наледи в поставляемом товаре.   СанПиН 2.3.2.1078-01.  При наличии Свидетельства о государственной регистрации продукции для детского питания</w:t>
            </w:r>
          </w:p>
        </w:tc>
        <w:tc>
          <w:tcPr>
            <w:tcW w:w="1559" w:type="dxa"/>
            <w:tcBorders>
              <w:top w:val="nil"/>
              <w:left w:val="nil"/>
              <w:bottom w:val="single" w:color="auto" w:sz="4" w:space="0"/>
              <w:right w:val="single" w:color="auto" w:sz="4" w:space="0"/>
            </w:tcBorders>
            <w:shd w:val="clear" w:color="auto" w:fill="auto"/>
          </w:tcPr>
          <w:p>
            <w:pPr>
              <w:spacing w:after="0"/>
              <w:rPr>
                <w:color w:val="000000"/>
              </w:rPr>
            </w:pPr>
            <w:r>
              <w:rPr>
                <w:color w:val="000000"/>
              </w:rPr>
              <w:t>Расфасованы и упакованы по 1,3-1,9 кг, завоз и отгрузка силами Поставщика до пищеблока Заказчика</w:t>
            </w:r>
          </w:p>
        </w:tc>
        <w:tc>
          <w:tcPr>
            <w:tcW w:w="1134" w:type="dxa"/>
            <w:tcBorders>
              <w:top w:val="nil"/>
              <w:left w:val="nil"/>
              <w:bottom w:val="single" w:color="auto" w:sz="4" w:space="0"/>
              <w:right w:val="single" w:color="auto" w:sz="4" w:space="0"/>
            </w:tcBorders>
            <w:shd w:val="clear" w:color="auto" w:fill="auto"/>
          </w:tcPr>
          <w:p>
            <w:pPr>
              <w:spacing w:after="0"/>
              <w:jc w:val="center"/>
              <w:rPr>
                <w:color w:val="000000"/>
              </w:rPr>
            </w:pPr>
            <w:r>
              <w:rPr>
                <w:color w:val="000000"/>
                <w:sz w:val="22"/>
                <w:szCs w:val="22"/>
              </w:rPr>
              <w:t>Россия</w:t>
            </w:r>
          </w:p>
        </w:tc>
        <w:tc>
          <w:tcPr>
            <w:tcW w:w="850" w:type="dxa"/>
            <w:tcBorders>
              <w:top w:val="nil"/>
              <w:left w:val="nil"/>
              <w:bottom w:val="single" w:color="auto" w:sz="4" w:space="0"/>
              <w:right w:val="single" w:color="auto" w:sz="4" w:space="0"/>
            </w:tcBorders>
            <w:shd w:val="clear" w:color="auto" w:fill="auto"/>
          </w:tcPr>
          <w:p>
            <w:pPr>
              <w:spacing w:after="0"/>
              <w:jc w:val="center"/>
              <w:rPr>
                <w:color w:val="000000"/>
              </w:rPr>
            </w:pPr>
            <w:r>
              <w:rPr>
                <w:color w:val="000000"/>
                <w:sz w:val="22"/>
                <w:szCs w:val="22"/>
              </w:rPr>
              <w:t>кг</w:t>
            </w:r>
          </w:p>
        </w:tc>
        <w:tc>
          <w:tcPr>
            <w:tcW w:w="851" w:type="dxa"/>
            <w:tcBorders>
              <w:top w:val="nil"/>
              <w:left w:val="nil"/>
              <w:bottom w:val="single" w:color="auto" w:sz="4" w:space="0"/>
              <w:right w:val="single" w:color="auto" w:sz="4" w:space="0"/>
            </w:tcBorders>
            <w:shd w:val="clear" w:color="auto" w:fill="auto"/>
          </w:tcPr>
          <w:p>
            <w:pPr>
              <w:spacing w:after="0"/>
              <w:jc w:val="left"/>
              <w:rPr>
                <w:color w:val="000000"/>
                <w:lang w:val="ru-RU"/>
              </w:rPr>
            </w:pPr>
            <w:r>
              <w:rPr>
                <w:color w:val="000000"/>
                <w:sz w:val="22"/>
                <w:szCs w:val="22"/>
                <w:lang w:val="ru-RU"/>
              </w:rPr>
              <w:t>118</w:t>
            </w:r>
          </w:p>
        </w:tc>
        <w:tc>
          <w:tcPr>
            <w:tcW w:w="1559" w:type="dxa"/>
            <w:tcBorders>
              <w:top w:val="nil"/>
              <w:left w:val="nil"/>
              <w:bottom w:val="single" w:color="auto" w:sz="4" w:space="0"/>
              <w:right w:val="single" w:color="auto" w:sz="4" w:space="0"/>
            </w:tcBorders>
          </w:tcPr>
          <w:p>
            <w:pPr>
              <w:spacing w:after="0"/>
              <w:jc w:val="left"/>
              <w:rPr>
                <w:color w:val="000000"/>
              </w:rPr>
            </w:pPr>
            <w:r>
              <w:rPr>
                <w:color w:val="000000"/>
              </w:rPr>
              <w:t>01.14.01.02.11</w:t>
            </w:r>
          </w:p>
          <w:p>
            <w:pPr>
              <w:spacing w:after="0"/>
              <w:jc w:val="left"/>
              <w:rPr>
                <w:color w:val="000000"/>
              </w:rPr>
            </w:pPr>
            <w:r>
              <w:rPr>
                <w:color w:val="000000"/>
              </w:rPr>
              <w:t>Цыпленок-бройлер мясных и мясояичных пород</w:t>
            </w:r>
          </w:p>
        </w:tc>
        <w:tc>
          <w:tcPr>
            <w:tcW w:w="1339" w:type="dxa"/>
            <w:tcBorders>
              <w:top w:val="nil"/>
              <w:left w:val="nil"/>
              <w:bottom w:val="single" w:color="auto" w:sz="4" w:space="0"/>
              <w:right w:val="single" w:color="auto" w:sz="4" w:space="0"/>
            </w:tcBorders>
          </w:tcPr>
          <w:p>
            <w:pPr>
              <w:spacing w:after="0"/>
              <w:jc w:val="left"/>
              <w:rPr>
                <w:color w:val="000000"/>
              </w:rPr>
            </w:pPr>
            <w:r>
              <w:rPr>
                <w:color w:val="000000"/>
              </w:rPr>
              <w:t xml:space="preserve">01.47.11.600 </w:t>
            </w:r>
          </w:p>
          <w:p>
            <w:pPr>
              <w:spacing w:after="0"/>
              <w:jc w:val="left"/>
              <w:rPr>
                <w:color w:val="000000"/>
              </w:rPr>
            </w:pPr>
            <w:r>
              <w:rPr>
                <w:color w:val="000000"/>
              </w:rPr>
              <w:t>Бройлеры</w:t>
            </w:r>
          </w:p>
        </w:tc>
      </w:tr>
      <w:tr>
        <w:tblPrEx>
          <w:tblLayout w:type="fixed"/>
          <w:tblCellMar>
            <w:top w:w="0" w:type="dxa"/>
            <w:left w:w="108" w:type="dxa"/>
            <w:bottom w:w="0" w:type="dxa"/>
            <w:right w:w="108" w:type="dxa"/>
          </w:tblCellMar>
        </w:tblPrEx>
        <w:trPr>
          <w:trHeight w:val="2252" w:hRule="atLeast"/>
        </w:trPr>
        <w:tc>
          <w:tcPr>
            <w:tcW w:w="283" w:type="dxa"/>
            <w:tcBorders>
              <w:top w:val="nil"/>
              <w:left w:val="single" w:color="auto" w:sz="4" w:space="0"/>
              <w:bottom w:val="single" w:color="auto" w:sz="4" w:space="0"/>
              <w:right w:val="single" w:color="auto" w:sz="4" w:space="0"/>
            </w:tcBorders>
            <w:shd w:val="clear" w:color="auto" w:fill="auto"/>
          </w:tcPr>
          <w:p>
            <w:pPr>
              <w:spacing w:after="0"/>
              <w:jc w:val="left"/>
              <w:rPr>
                <w:color w:val="000000"/>
              </w:rPr>
            </w:pPr>
            <w:r>
              <w:rPr>
                <w:color w:val="000000"/>
                <w:sz w:val="22"/>
                <w:szCs w:val="22"/>
              </w:rPr>
              <w:t>3</w:t>
            </w:r>
          </w:p>
        </w:tc>
        <w:tc>
          <w:tcPr>
            <w:tcW w:w="2411" w:type="dxa"/>
            <w:tcBorders>
              <w:top w:val="nil"/>
              <w:left w:val="nil"/>
              <w:bottom w:val="single" w:color="auto" w:sz="4" w:space="0"/>
              <w:right w:val="single" w:color="auto" w:sz="4" w:space="0"/>
            </w:tcBorders>
            <w:shd w:val="clear" w:color="auto" w:fill="auto"/>
          </w:tcPr>
          <w:p>
            <w:pPr>
              <w:spacing w:after="0"/>
              <w:jc w:val="left"/>
              <w:rPr>
                <w:color w:val="000000"/>
              </w:rPr>
            </w:pPr>
            <w:r>
              <w:rPr>
                <w:color w:val="000000"/>
              </w:rPr>
              <w:t>Субпродукты</w:t>
            </w:r>
          </w:p>
          <w:p>
            <w:pPr>
              <w:spacing w:after="0"/>
              <w:jc w:val="left"/>
              <w:rPr>
                <w:color w:val="000000"/>
              </w:rPr>
            </w:pPr>
            <w:r>
              <w:rPr>
                <w:color w:val="000000"/>
              </w:rPr>
              <w:t xml:space="preserve"> обработанные, замороженные в блоках, говяжьи печень</w:t>
            </w:r>
            <w:r>
              <w:rPr>
                <w:color w:val="000000"/>
              </w:rPr>
              <w:br w:type="textWrapping"/>
            </w:r>
            <w:r>
              <w:rPr>
                <w:color w:val="000000"/>
              </w:rPr>
              <w:t>ГОСТ 32244-2013</w:t>
            </w:r>
          </w:p>
        </w:tc>
        <w:tc>
          <w:tcPr>
            <w:tcW w:w="5670" w:type="dxa"/>
            <w:tcBorders>
              <w:top w:val="nil"/>
              <w:left w:val="nil"/>
              <w:bottom w:val="single" w:color="auto" w:sz="4" w:space="0"/>
              <w:right w:val="single" w:color="auto" w:sz="4" w:space="0"/>
            </w:tcBorders>
            <w:shd w:val="clear" w:color="auto" w:fill="auto"/>
          </w:tcPr>
          <w:p>
            <w:pPr>
              <w:spacing w:after="0" w:line="276" w:lineRule="auto"/>
              <w:rPr>
                <w:color w:val="000000"/>
                <w:lang w:eastAsia="en-US"/>
              </w:rPr>
            </w:pPr>
            <w:r>
              <w:rPr>
                <w:color w:val="000000"/>
                <w:lang w:eastAsia="en-US"/>
              </w:rPr>
              <w:t>Субпродукты мясные обработанные: печень говяжья (глубокой заморозки, без протоков, без жировых включений), ГОСТ 32244-2013.  Субпродукты говяжьи (печень) замороженные поштучно или блоками.  Внешний вид - чистые, без посторонних включений, без остатков посторонних тканей, пятен от желчи, без видимых кровяных сгустков, лимфатических узлов, остатков связок жира, патологических изменений и посторонних запахов. Запах должен быть специфический, свойственный запаху сырого продукта, без постороннего запаха. Внешний вид должен быть свойственный данному виду продукции, без посторонних включений, без почерневших пятен, без налетов цветом, не соответствующих данному виду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термосварением. Продукт должен поставляться в деревянных многооборотных ящиках.</w:t>
            </w:r>
          </w:p>
          <w:p>
            <w:pPr>
              <w:spacing w:after="0"/>
              <w:rPr>
                <w:color w:val="000000"/>
              </w:rPr>
            </w:pPr>
          </w:p>
        </w:tc>
        <w:tc>
          <w:tcPr>
            <w:tcW w:w="1559" w:type="dxa"/>
            <w:tcBorders>
              <w:top w:val="nil"/>
              <w:left w:val="nil"/>
              <w:bottom w:val="single" w:color="auto" w:sz="4" w:space="0"/>
              <w:right w:val="single" w:color="auto" w:sz="4" w:space="0"/>
            </w:tcBorders>
            <w:shd w:val="clear" w:color="auto" w:fill="auto"/>
          </w:tcPr>
          <w:p>
            <w:pPr>
              <w:spacing w:after="0"/>
              <w:rPr>
                <w:color w:val="000000"/>
              </w:rPr>
            </w:pPr>
            <w:r>
              <w:rPr>
                <w:color w:val="000000"/>
              </w:rPr>
              <w:t>Расфасована и упакована в пищевые п/этиленовые пакеты до 5 кг, завоз и отгрузка силами Поставщика до пищеблока Заказчика</w:t>
            </w:r>
          </w:p>
        </w:tc>
        <w:tc>
          <w:tcPr>
            <w:tcW w:w="1134" w:type="dxa"/>
            <w:tcBorders>
              <w:top w:val="nil"/>
              <w:left w:val="nil"/>
              <w:bottom w:val="single" w:color="auto" w:sz="4" w:space="0"/>
              <w:right w:val="single" w:color="auto" w:sz="4" w:space="0"/>
            </w:tcBorders>
            <w:shd w:val="clear" w:color="auto" w:fill="auto"/>
          </w:tcPr>
          <w:p>
            <w:pPr>
              <w:spacing w:after="0"/>
              <w:jc w:val="center"/>
              <w:rPr>
                <w:color w:val="000000"/>
              </w:rPr>
            </w:pPr>
            <w:r>
              <w:rPr>
                <w:color w:val="000000"/>
                <w:sz w:val="22"/>
                <w:szCs w:val="22"/>
              </w:rPr>
              <w:t>Россия</w:t>
            </w:r>
          </w:p>
        </w:tc>
        <w:tc>
          <w:tcPr>
            <w:tcW w:w="850" w:type="dxa"/>
            <w:tcBorders>
              <w:top w:val="nil"/>
              <w:left w:val="nil"/>
              <w:bottom w:val="single" w:color="auto" w:sz="4" w:space="0"/>
              <w:right w:val="single" w:color="auto" w:sz="4" w:space="0"/>
            </w:tcBorders>
            <w:shd w:val="clear" w:color="auto" w:fill="auto"/>
          </w:tcPr>
          <w:p>
            <w:pPr>
              <w:spacing w:after="0"/>
              <w:jc w:val="center"/>
              <w:rPr>
                <w:color w:val="000000"/>
              </w:rPr>
            </w:pPr>
            <w:r>
              <w:rPr>
                <w:color w:val="000000"/>
                <w:sz w:val="22"/>
                <w:szCs w:val="22"/>
              </w:rPr>
              <w:t>кг</w:t>
            </w:r>
          </w:p>
        </w:tc>
        <w:tc>
          <w:tcPr>
            <w:tcW w:w="851" w:type="dxa"/>
            <w:tcBorders>
              <w:top w:val="nil"/>
              <w:left w:val="nil"/>
              <w:bottom w:val="single" w:color="auto" w:sz="4" w:space="0"/>
              <w:right w:val="single" w:color="auto" w:sz="4" w:space="0"/>
            </w:tcBorders>
            <w:shd w:val="clear" w:color="auto" w:fill="auto"/>
          </w:tcPr>
          <w:p>
            <w:pPr>
              <w:spacing w:after="0"/>
              <w:jc w:val="left"/>
              <w:rPr>
                <w:color w:val="000000"/>
                <w:lang w:val="ru-RU"/>
              </w:rPr>
            </w:pPr>
            <w:r>
              <w:rPr>
                <w:color w:val="000000"/>
                <w:sz w:val="22"/>
                <w:szCs w:val="22"/>
                <w:lang w:val="ru-RU"/>
              </w:rPr>
              <w:t>35</w:t>
            </w:r>
          </w:p>
        </w:tc>
        <w:tc>
          <w:tcPr>
            <w:tcW w:w="1559" w:type="dxa"/>
            <w:tcBorders>
              <w:top w:val="nil"/>
              <w:left w:val="nil"/>
              <w:bottom w:val="single" w:color="auto" w:sz="4" w:space="0"/>
              <w:right w:val="single" w:color="auto" w:sz="4" w:space="0"/>
            </w:tcBorders>
          </w:tcPr>
          <w:p>
            <w:pPr>
              <w:spacing w:after="0"/>
              <w:jc w:val="left"/>
              <w:rPr>
                <w:color w:val="000000"/>
              </w:rPr>
            </w:pPr>
            <w:r>
              <w:rPr>
                <w:color w:val="000000"/>
              </w:rPr>
              <w:t xml:space="preserve">01.13.05.01.01.03.05 </w:t>
            </w:r>
          </w:p>
          <w:p>
            <w:pPr>
              <w:spacing w:after="0"/>
              <w:jc w:val="left"/>
              <w:rPr>
                <w:color w:val="000000"/>
              </w:rPr>
            </w:pPr>
            <w:r>
              <w:rPr>
                <w:color w:val="000000"/>
              </w:rPr>
              <w:t>Печень говяжья замороженная</w:t>
            </w:r>
          </w:p>
        </w:tc>
        <w:tc>
          <w:tcPr>
            <w:tcW w:w="1339" w:type="dxa"/>
            <w:tcBorders>
              <w:top w:val="nil"/>
              <w:left w:val="nil"/>
              <w:bottom w:val="single" w:color="auto" w:sz="4" w:space="0"/>
              <w:right w:val="single" w:color="auto" w:sz="4" w:space="0"/>
            </w:tcBorders>
          </w:tcPr>
          <w:p>
            <w:pPr>
              <w:spacing w:after="0"/>
              <w:jc w:val="left"/>
              <w:rPr>
                <w:color w:val="000000"/>
              </w:rPr>
            </w:pPr>
            <w:r>
              <w:rPr>
                <w:color w:val="000000"/>
              </w:rPr>
              <w:t>10.11.31.140 - Субпродукты пищевые крупного рогатого скота замороженные</w:t>
            </w:r>
          </w:p>
        </w:tc>
      </w:tr>
    </w:tbl>
    <w:p>
      <w:pPr>
        <w:spacing w:after="0"/>
        <w:jc w:val="center"/>
        <w:rPr>
          <w:b/>
          <w:bCs/>
          <w:i/>
        </w:rPr>
      </w:pPr>
    </w:p>
    <w:p>
      <w:pPr>
        <w:jc w:val="left"/>
        <w:rPr>
          <w:b/>
          <w:bCs/>
          <w:i/>
        </w:rPr>
      </w:pPr>
      <w:r>
        <w:rPr>
          <w:sz w:val="28"/>
          <w:szCs w:val="28"/>
        </w:rPr>
        <w:t xml:space="preserve">В </w:t>
      </w:r>
      <w:r>
        <w:t>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bookmarkStart w:id="0" w:name="_GoBack"/>
      <w:bookmarkEnd w:id="0"/>
    </w:p>
    <w:tbl>
      <w:tblPr>
        <w:tblStyle w:val="4"/>
        <w:tblpPr w:leftFromText="180" w:rightFromText="180" w:vertAnchor="text" w:tblpX="19" w:tblpY="9226"/>
        <w:tblW w:w="567" w:type="dxa"/>
        <w:tblInd w:w="0" w:type="dxa"/>
        <w:tblLayout w:type="fixed"/>
        <w:tblCellMar>
          <w:top w:w="0" w:type="dxa"/>
          <w:left w:w="108" w:type="dxa"/>
          <w:bottom w:w="0" w:type="dxa"/>
          <w:right w:w="108" w:type="dxa"/>
        </w:tblCellMar>
      </w:tblPr>
      <w:tblGrid>
        <w:gridCol w:w="567"/>
      </w:tblGrid>
      <w:tr>
        <w:tblPrEx>
          <w:tblLayout w:type="fixed"/>
          <w:tblCellMar>
            <w:top w:w="0" w:type="dxa"/>
            <w:left w:w="108" w:type="dxa"/>
            <w:bottom w:w="0" w:type="dxa"/>
            <w:right w:w="108" w:type="dxa"/>
          </w:tblCellMar>
        </w:tblPrEx>
        <w:trPr>
          <w:trHeight w:val="4800" w:hRule="atLeast"/>
        </w:trPr>
        <w:tc>
          <w:tcPr>
            <w:tcW w:w="567" w:type="dxa"/>
            <w:tcBorders>
              <w:top w:val="nil"/>
              <w:left w:val="single" w:color="auto" w:sz="4" w:space="0"/>
              <w:bottom w:val="single" w:color="auto" w:sz="4" w:space="0"/>
              <w:right w:val="single" w:color="auto" w:sz="4" w:space="0"/>
            </w:tcBorders>
            <w:shd w:val="clear" w:color="auto" w:fill="auto"/>
          </w:tcPr>
          <w:p>
            <w:pPr>
              <w:spacing w:after="0"/>
              <w:jc w:val="left"/>
              <w:rPr>
                <w:color w:val="000000"/>
              </w:rPr>
            </w:pPr>
          </w:p>
        </w:tc>
      </w:tr>
    </w:tbl>
    <w:p>
      <w:pPr>
        <w:spacing w:after="0"/>
        <w:rPr>
          <w:b/>
          <w:bCs/>
          <w:i/>
        </w:rPr>
      </w:pPr>
    </w:p>
    <w:sectPr>
      <w:pgSz w:w="16838" w:h="11906" w:orient="landscape"/>
      <w:pgMar w:top="284" w:right="1134" w:bottom="851"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24F9B"/>
    <w:multiLevelType w:val="multilevel"/>
    <w:tmpl w:val="4B524F9B"/>
    <w:lvl w:ilvl="0" w:tentative="0">
      <w:start w:val="1"/>
      <w:numFmt w:val="decimal"/>
      <w:lvlText w:val="%1."/>
      <w:lvlJc w:val="left"/>
      <w:pPr>
        <w:ind w:left="899" w:hanging="360"/>
      </w:pPr>
      <w:rPr>
        <w:rFonts w:hint="default"/>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abstractNum w:abstractNumId="1">
    <w:nsid w:val="59ED26A7"/>
    <w:multiLevelType w:val="multilevel"/>
    <w:tmpl w:val="59ED26A7"/>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cumentProtection w:enforcement="0"/>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5557E"/>
    <w:rsid w:val="00075815"/>
    <w:rsid w:val="000832AD"/>
    <w:rsid w:val="00093CC0"/>
    <w:rsid w:val="000B4A91"/>
    <w:rsid w:val="000C34F4"/>
    <w:rsid w:val="000E4FAF"/>
    <w:rsid w:val="000F68FB"/>
    <w:rsid w:val="0016005F"/>
    <w:rsid w:val="001A2347"/>
    <w:rsid w:val="001C35AD"/>
    <w:rsid w:val="001D7C19"/>
    <w:rsid w:val="001E5DE1"/>
    <w:rsid w:val="001E6275"/>
    <w:rsid w:val="001F061A"/>
    <w:rsid w:val="001F080D"/>
    <w:rsid w:val="00206027"/>
    <w:rsid w:val="00234E54"/>
    <w:rsid w:val="00242B8A"/>
    <w:rsid w:val="0025086E"/>
    <w:rsid w:val="00267BFB"/>
    <w:rsid w:val="00284409"/>
    <w:rsid w:val="002C4359"/>
    <w:rsid w:val="002C6D6F"/>
    <w:rsid w:val="002E1DE5"/>
    <w:rsid w:val="0033492C"/>
    <w:rsid w:val="00334AF6"/>
    <w:rsid w:val="003B208A"/>
    <w:rsid w:val="003B4373"/>
    <w:rsid w:val="003E525C"/>
    <w:rsid w:val="003F618A"/>
    <w:rsid w:val="004010E2"/>
    <w:rsid w:val="00405FC1"/>
    <w:rsid w:val="00415B69"/>
    <w:rsid w:val="00463CB3"/>
    <w:rsid w:val="00464C20"/>
    <w:rsid w:val="004731A2"/>
    <w:rsid w:val="004A5F66"/>
    <w:rsid w:val="004A7D21"/>
    <w:rsid w:val="004C5592"/>
    <w:rsid w:val="004C72A5"/>
    <w:rsid w:val="004E14F5"/>
    <w:rsid w:val="004F56AD"/>
    <w:rsid w:val="004F7CB0"/>
    <w:rsid w:val="00514D92"/>
    <w:rsid w:val="00530D66"/>
    <w:rsid w:val="00532383"/>
    <w:rsid w:val="005336DD"/>
    <w:rsid w:val="00552603"/>
    <w:rsid w:val="00554067"/>
    <w:rsid w:val="0055486B"/>
    <w:rsid w:val="00586140"/>
    <w:rsid w:val="005C6F89"/>
    <w:rsid w:val="005D0370"/>
    <w:rsid w:val="005E13D1"/>
    <w:rsid w:val="00630368"/>
    <w:rsid w:val="006342C3"/>
    <w:rsid w:val="00636DF4"/>
    <w:rsid w:val="006565B1"/>
    <w:rsid w:val="006606B0"/>
    <w:rsid w:val="006762FD"/>
    <w:rsid w:val="00690961"/>
    <w:rsid w:val="006C7A75"/>
    <w:rsid w:val="006D4426"/>
    <w:rsid w:val="006D5924"/>
    <w:rsid w:val="006E5056"/>
    <w:rsid w:val="00700CE8"/>
    <w:rsid w:val="00714AEF"/>
    <w:rsid w:val="0073399D"/>
    <w:rsid w:val="00750FD4"/>
    <w:rsid w:val="00762622"/>
    <w:rsid w:val="00787D2C"/>
    <w:rsid w:val="0079641D"/>
    <w:rsid w:val="007E18CA"/>
    <w:rsid w:val="007E5066"/>
    <w:rsid w:val="008033B8"/>
    <w:rsid w:val="0084692B"/>
    <w:rsid w:val="008A3017"/>
    <w:rsid w:val="008B0769"/>
    <w:rsid w:val="008B70CE"/>
    <w:rsid w:val="008D0237"/>
    <w:rsid w:val="008D1AA6"/>
    <w:rsid w:val="008D41E0"/>
    <w:rsid w:val="008F784A"/>
    <w:rsid w:val="00967716"/>
    <w:rsid w:val="0098672C"/>
    <w:rsid w:val="009978E2"/>
    <w:rsid w:val="009B53A0"/>
    <w:rsid w:val="009F34FF"/>
    <w:rsid w:val="00A066E5"/>
    <w:rsid w:val="00A17EA8"/>
    <w:rsid w:val="00A26F17"/>
    <w:rsid w:val="00A3364D"/>
    <w:rsid w:val="00A84D51"/>
    <w:rsid w:val="00AB5045"/>
    <w:rsid w:val="00AB5FD9"/>
    <w:rsid w:val="00AB7263"/>
    <w:rsid w:val="00AD37D2"/>
    <w:rsid w:val="00AD41A5"/>
    <w:rsid w:val="00AE3739"/>
    <w:rsid w:val="00AF53A7"/>
    <w:rsid w:val="00B15D32"/>
    <w:rsid w:val="00B541AC"/>
    <w:rsid w:val="00B6023E"/>
    <w:rsid w:val="00B70410"/>
    <w:rsid w:val="00BB5694"/>
    <w:rsid w:val="00BC3BE4"/>
    <w:rsid w:val="00BF5125"/>
    <w:rsid w:val="00C07F18"/>
    <w:rsid w:val="00CE0131"/>
    <w:rsid w:val="00CF797F"/>
    <w:rsid w:val="00D53B04"/>
    <w:rsid w:val="00D6744F"/>
    <w:rsid w:val="00DA3951"/>
    <w:rsid w:val="00E43888"/>
    <w:rsid w:val="00E650DA"/>
    <w:rsid w:val="00E66ED4"/>
    <w:rsid w:val="00EB5776"/>
    <w:rsid w:val="00EC21BA"/>
    <w:rsid w:val="00EE4B53"/>
    <w:rsid w:val="00EE4D64"/>
    <w:rsid w:val="00F029B2"/>
    <w:rsid w:val="00F50EAD"/>
    <w:rsid w:val="00F94269"/>
    <w:rsid w:val="00FB666C"/>
    <w:rsid w:val="00FC0B2D"/>
    <w:rsid w:val="00FD2011"/>
    <w:rsid w:val="00FE2C7F"/>
    <w:rsid w:val="00FE660C"/>
    <w:rsid w:val="074B2813"/>
    <w:rsid w:val="47D56939"/>
    <w:rsid w:val="4B9C7035"/>
    <w:rsid w:val="52345F28"/>
    <w:rsid w:val="7BF167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line="240" w:lineRule="auto"/>
      <w:jc w:val="both"/>
    </w:pPr>
    <w:rPr>
      <w:rFonts w:ascii="Times New Roman" w:hAnsi="Times New Roman" w:eastAsia="Times New Roman" w:cs="Times New Roman"/>
      <w:sz w:val="24"/>
      <w:szCs w:val="24"/>
      <w:lang w:val="ru-RU" w:eastAsia="ru-RU"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pPr>
      <w:spacing w:after="0"/>
    </w:pPr>
    <w:rPr>
      <w:rFonts w:ascii="Segoe UI" w:hAnsi="Segoe UI" w:cs="Segoe UI"/>
      <w:sz w:val="18"/>
      <w:szCs w:val="18"/>
    </w:rPr>
  </w:style>
  <w:style w:type="table" w:styleId="5">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6">
    <w:name w:val="No Spacing"/>
    <w:qFormat/>
    <w:uiPriority w:val="0"/>
    <w:pPr>
      <w:spacing w:after="0" w:line="240" w:lineRule="auto"/>
      <w:jc w:val="both"/>
    </w:pPr>
    <w:rPr>
      <w:rFonts w:ascii="Times New Roman" w:hAnsi="Times New Roman" w:eastAsia="Times New Roman" w:cs="Times New Roman"/>
      <w:sz w:val="24"/>
      <w:szCs w:val="24"/>
      <w:lang w:val="ru-RU" w:eastAsia="ru-RU" w:bidi="ar-SA"/>
    </w:rPr>
  </w:style>
  <w:style w:type="character" w:customStyle="1" w:styleId="7">
    <w:name w:val="Текст выноски Знак"/>
    <w:basedOn w:val="3"/>
    <w:link w:val="2"/>
    <w:semiHidden/>
    <w:uiPriority w:val="99"/>
    <w:rPr>
      <w:rFonts w:ascii="Segoe UI" w:hAnsi="Segoe UI" w:eastAsia="Times New Roman" w:cs="Segoe UI"/>
      <w:sz w:val="18"/>
      <w:szCs w:val="18"/>
      <w:lang w:eastAsia="ru-RU"/>
    </w:rPr>
  </w:style>
  <w:style w:type="paragraph" w:styleId="8">
    <w:name w:val="List Paragraph"/>
    <w:basedOn w:val="1"/>
    <w:qFormat/>
    <w:uiPriority w:val="34"/>
    <w:pPr>
      <w:ind w:left="720"/>
      <w:contextualSpacing/>
    </w:pPr>
  </w:style>
  <w:style w:type="paragraph" w:customStyle="1" w:styleId="9">
    <w:name w:val="ConsPlusNonformat"/>
    <w:q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10">
    <w:name w:val="Без интервала2"/>
    <w:qFormat/>
    <w:uiPriority w:val="1"/>
    <w:pPr>
      <w:spacing w:after="0" w:line="240" w:lineRule="auto"/>
    </w:pPr>
    <w:rPr>
      <w:rFonts w:ascii="Times New Roman" w:hAnsi="Times New Roman" w:eastAsia="Calibri" w:cs="Times New Roman"/>
      <w:sz w:val="24"/>
      <w:szCs w:val="24"/>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C635E-E9A9-46E3-BEB9-0AE2DB5DA9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2564</Words>
  <Characters>14616</Characters>
  <Lines>121</Lines>
  <Paragraphs>34</Paragraphs>
  <TotalTime>2</TotalTime>
  <ScaleCrop>false</ScaleCrop>
  <LinksUpToDate>false</LinksUpToDate>
  <CharactersWithSpaces>17146</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2017-05-25T12:05:00Z</dcterms:created>
  <dc:creator>Журавушка</dc:creator>
  <cp:lastModifiedBy>рябинка</cp:lastModifiedBy>
  <cp:lastPrinted>2020-11-13T11:08:00Z</cp:lastPrinted>
  <dcterms:modified xsi:type="dcterms:W3CDTF">2020-11-23T06:54:07Z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