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Веремейчук Людмила Николаевна</w:t>
        <w:br/>
        <w:t>Заведующий</w:t>
        <w:br/>
        <w:t>Муниципальное Автономное Дошкольное Образовательное Учреждение Центр Развития ребенка детский сад № 24 «Сказка»</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 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овощей и фруктов свежих на 2 полугодие 2021 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779 226 (семьсот семьдесят девять тысяч двести двадцать шесть) рублей 64 копейки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779 226 рублей 64 копейки</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br/>
              <w:t>происхождения в соответствии с нормами ПП925</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38 961 (тридцать восемь тысяч девятьсот шестьдесят один) рубль 33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br/>
              <w:t>ИНН: 5045025798</w:t>
              <w:br/>
              <w:t>КПП: 504501001</w:t>
              <w:br/>
              <w:t>ОКПО: 53960993</w:t>
              <w:br/>
              <w:t>ОГРН: 1025005920521</w:t>
              <w:br/>
              <w:t>ОКТМО: </w:t>
              <w:br/>
              <w:t/>
              <w:br/>
              <w:t>Телефон: 7-916-4501314</w:t>
              <w:br/>
              <w:t>Почта: detsadska@gmail.com</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