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5E4C3B">
        <w:rPr>
          <w:rStyle w:val="ng-binding"/>
          <w:rFonts w:ascii="Times New Roman" w:hAnsi="Times New Roman" w:cs="Times New Roman"/>
          <w:b/>
        </w:rPr>
        <w:t xml:space="preserve">запасных частей </w:t>
      </w:r>
      <w:proofErr w:type="gramStart"/>
      <w:r w:rsidR="005E4C3B">
        <w:rPr>
          <w:rStyle w:val="ng-binding"/>
          <w:rFonts w:ascii="Times New Roman" w:hAnsi="Times New Roman" w:cs="Times New Roman"/>
          <w:b/>
        </w:rPr>
        <w:t>для</w:t>
      </w:r>
      <w:proofErr w:type="gramEnd"/>
      <w:r w:rsidR="005E4C3B">
        <w:rPr>
          <w:rStyle w:val="ng-binding"/>
          <w:rFonts w:ascii="Times New Roman" w:hAnsi="Times New Roman" w:cs="Times New Roman"/>
          <w:b/>
        </w:rPr>
        <w:t xml:space="preserve"> ТС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запроса котировок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</w:t>
      </w:r>
      <w:r w:rsidR="005E4C3B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5E4C3B">
        <w:rPr>
          <w:rFonts w:ascii="Times New Roman" w:hAnsi="Times New Roman" w:cs="Times New Roman"/>
        </w:rPr>
        <w:t>Договору</w:t>
      </w:r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270C4B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auto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 xml:space="preserve">в </w:t>
      </w:r>
      <w:r w:rsidR="006B59DB" w:rsidRPr="00270C4B">
        <w:rPr>
          <w:rFonts w:ascii="Times New Roman" w:hAnsi="Times New Roman" w:cs="Times New Roman"/>
          <w:color w:val="auto"/>
        </w:rPr>
        <w:t>течени</w:t>
      </w:r>
      <w:r w:rsidR="004A13BC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5E4C3B">
        <w:rPr>
          <w:rFonts w:ascii="Times New Roman" w:hAnsi="Times New Roman" w:cs="Times New Roman"/>
          <w:color w:val="auto"/>
        </w:rPr>
        <w:t>5</w:t>
      </w:r>
      <w:r w:rsidR="00270C4B" w:rsidRPr="00270C4B">
        <w:rPr>
          <w:rFonts w:ascii="Times New Roman" w:hAnsi="Times New Roman" w:cs="Times New Roman"/>
          <w:color w:val="auto"/>
        </w:rPr>
        <w:t xml:space="preserve"> (пяти)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796BD7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F512CA" w:rsidRPr="00270C4B">
        <w:rPr>
          <w:rFonts w:ascii="Times New Roman" w:hAnsi="Times New Roman" w:cs="Times New Roman"/>
          <w:color w:val="auto"/>
        </w:rPr>
        <w:t>начала срока действия 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</w:t>
      </w:r>
      <w:r w:rsidRPr="00707A47">
        <w:rPr>
          <w:rFonts w:ascii="Times New Roman" w:hAnsi="Times New Roman" w:cs="Times New Roman"/>
        </w:rPr>
        <w:lastRenderedPageBreak/>
        <w:t>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>)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</w:t>
      </w:r>
      <w:r w:rsidRPr="00270C4B">
        <w:rPr>
          <w:rFonts w:ascii="Times New Roman" w:hAnsi="Times New Roman" w:cs="Times New Roman"/>
          <w:color w:val="auto"/>
        </w:rPr>
        <w:t xml:space="preserve">товара –  </w:t>
      </w:r>
      <w:r w:rsidR="006B59DB" w:rsidRPr="00270C4B">
        <w:rPr>
          <w:rFonts w:ascii="Times New Roman" w:hAnsi="Times New Roman" w:cs="Times New Roman"/>
          <w:color w:val="auto"/>
        </w:rPr>
        <w:t>в течени</w:t>
      </w:r>
      <w:r w:rsidR="002D2BC5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270C4B" w:rsidRPr="00270C4B">
        <w:rPr>
          <w:rFonts w:ascii="Times New Roman" w:hAnsi="Times New Roman" w:cs="Times New Roman"/>
          <w:color w:val="auto"/>
        </w:rPr>
        <w:t>5 (пяти)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0B259B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2D2BC5" w:rsidRPr="00270C4B">
        <w:rPr>
          <w:rFonts w:ascii="Times New Roman" w:hAnsi="Times New Roman" w:cs="Times New Roman"/>
          <w:color w:val="auto"/>
        </w:rPr>
        <w:t>начала срока действия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F512CA" w:rsidRPr="00270C4B">
        <w:rPr>
          <w:rFonts w:ascii="Times New Roman" w:hAnsi="Times New Roman" w:cs="Times New Roman"/>
          <w:color w:val="auto"/>
        </w:rPr>
        <w:t>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  <w:r w:rsidRPr="00270C4B">
        <w:rPr>
          <w:rFonts w:ascii="Times New Roman" w:hAnsi="Times New Roman" w:cs="Times New Roman"/>
          <w:color w:val="auto"/>
        </w:rPr>
        <w:t xml:space="preserve"> </w:t>
      </w:r>
      <w:r w:rsidRPr="00270C4B">
        <w:rPr>
          <w:rFonts w:ascii="Times New Roman" w:hAnsi="Times New Roman" w:cs="Times New Roman"/>
          <w:color w:val="auto"/>
          <w:kern w:val="1"/>
          <w:lang w:eastAsia="ar-SA"/>
        </w:rPr>
        <w:t xml:space="preserve">Поставщик обязан известить Заказчика о точном времени поставки товара Заказчику посредством факсимильной связи </w:t>
      </w:r>
      <w:r w:rsidRPr="00707A47">
        <w:rPr>
          <w:rFonts w:ascii="Times New Roman" w:hAnsi="Times New Roman" w:cs="Times New Roman"/>
          <w:kern w:val="1"/>
          <w:lang w:eastAsia="ar-SA"/>
        </w:rPr>
        <w:t>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lastRenderedPageBreak/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</w:t>
      </w:r>
      <w:r w:rsidRPr="00707A47">
        <w:rPr>
          <w:rFonts w:ascii="Times New Roman" w:hAnsi="Times New Roman" w:cs="Times New Roman"/>
        </w:rPr>
        <w:lastRenderedPageBreak/>
        <w:t xml:space="preserve">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Par102"/>
      <w:bookmarkEnd w:id="0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6.3. </w:t>
      </w:r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Поставщик предоставляет гарантию качества Товара в течение гарантийного срока, установленного заводом-изготовителем, но не менее одного года </w:t>
      </w:r>
      <w:proofErr w:type="gramStart"/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>с даты передачи</w:t>
      </w:r>
      <w:proofErr w:type="gramEnd"/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Товара Заказчику по товарной накладной.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6.5. </w:t>
      </w:r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Предоставляемая Поставщиком гарантия качества означает ответственность Поставщика за недостатки качества Товара и предполагает замену некачественного товара. Некачественный Товар, признанный таковым в момент приемки товара Заказчиком и/или в течение его использования, должен быть заменен Поставщиком на такой же товар в течение </w:t>
      </w:r>
      <w:r w:rsid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>трех</w:t>
      </w:r>
      <w:bookmarkStart w:id="1" w:name="_GoBack"/>
      <w:bookmarkEnd w:id="1"/>
      <w:r w:rsidR="00BB6A6F" w:rsidRPr="00BB6A6F">
        <w:rPr>
          <w:rFonts w:ascii="Times New Roman" w:eastAsia="Times New Roman" w:hAnsi="Times New Roman" w:cs="Times New Roman"/>
          <w:color w:val="00000A"/>
          <w:sz w:val="24"/>
          <w:szCs w:val="24"/>
        </w:rPr>
        <w:t>) рабочих дней с момента письменного уведомления Заказчика об обнаружении некачественного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lastRenderedPageBreak/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8.3. </w:t>
      </w:r>
      <w:proofErr w:type="gramStart"/>
      <w:r w:rsidRPr="00707A47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5E4C3B">
        <w:rPr>
          <w:rFonts w:ascii="Times New Roman" w:hAnsi="Times New Roman" w:cs="Times New Roman"/>
        </w:rPr>
        <w:t>31</w:t>
      </w:r>
      <w:r w:rsidRPr="00707A47">
        <w:rPr>
          <w:rFonts w:ascii="Times New Roman" w:hAnsi="Times New Roman" w:cs="Times New Roman"/>
        </w:rPr>
        <w:t>.</w:t>
      </w:r>
      <w:r w:rsidR="005E4C3B">
        <w:rPr>
          <w:rFonts w:ascii="Times New Roman" w:hAnsi="Times New Roman" w:cs="Times New Roman"/>
        </w:rPr>
        <w:t>12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</w:t>
      </w:r>
      <w:r w:rsidRPr="00707A47">
        <w:rPr>
          <w:rFonts w:ascii="Times New Roman" w:hAnsi="Times New Roman" w:cs="Times New Roman"/>
        </w:rPr>
        <w:lastRenderedPageBreak/>
        <w:t>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</w:t>
      </w:r>
      <w:r w:rsidRPr="00707A47">
        <w:rPr>
          <w:rFonts w:ascii="Times New Roman" w:hAnsi="Times New Roman" w:cs="Times New Roman"/>
          <w:bCs/>
        </w:rPr>
        <w:lastRenderedPageBreak/>
        <w:t>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3570"/>
        <w:gridCol w:w="1955"/>
        <w:gridCol w:w="608"/>
        <w:gridCol w:w="914"/>
        <w:gridCol w:w="1434"/>
        <w:gridCol w:w="914"/>
        <w:gridCol w:w="888"/>
      </w:tblGrid>
      <w:tr w:rsidR="006321AB" w:rsidRPr="00C71FEA" w:rsidTr="00166BAF">
        <w:trPr>
          <w:trHeight w:val="800"/>
          <w:tblCellSpacing w:w="5" w:type="nil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товара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   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происхождения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изм.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ед.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 руб.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(с учетом 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НДС)*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 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 руб. 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(с учетом 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НДС)*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НДС </w:t>
            </w: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руб.*</w:t>
            </w:r>
          </w:p>
        </w:tc>
      </w:tr>
      <w:tr w:rsidR="006321AB" w:rsidRPr="00C71FEA" w:rsidTr="00166BAF">
        <w:trPr>
          <w:tblCellSpacing w:w="5" w:type="nil"/>
          <w:jc w:val="center"/>
        </w:trPr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6321AB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321AB" w:rsidRPr="00C71FEA" w:rsidTr="00166BAF">
        <w:trPr>
          <w:tblCellSpacing w:w="5" w:type="nil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C71FEA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C71FEA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21AB" w:rsidRPr="004D111E" w:rsidTr="00166BAF">
        <w:trPr>
          <w:tblCellSpacing w:w="5" w:type="nil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21AB" w:rsidRPr="004D111E" w:rsidTr="00166BAF">
        <w:trPr>
          <w:tblCellSpacing w:w="5" w:type="nil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21AB" w:rsidRPr="004D111E" w:rsidTr="00166BAF">
        <w:trPr>
          <w:tblCellSpacing w:w="5" w:type="nil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4A284C" w:rsidRDefault="006321AB" w:rsidP="006A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A284C" w:rsidRDefault="006321AB" w:rsidP="006A4A2F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21AB" w:rsidRPr="004D111E" w:rsidTr="006321AB">
        <w:trPr>
          <w:tblCellSpacing w:w="5" w:type="nil"/>
          <w:jc w:val="center"/>
        </w:trPr>
        <w:tc>
          <w:tcPr>
            <w:tcW w:w="41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B" w:rsidRPr="006321AB" w:rsidRDefault="006321AB" w:rsidP="006321AB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B" w:rsidRPr="004D111E" w:rsidRDefault="006321AB" w:rsidP="006A4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13D9F" w:rsidRDefault="00166BAF" w:rsidP="00B13D9F">
      <w:pPr>
        <w:ind w:right="-261"/>
        <w:rPr>
          <w:rFonts w:ascii="Times New Roman" w:hAnsi="Times New Roman" w:cs="Times New Roman"/>
          <w:b/>
        </w:rPr>
      </w:pPr>
      <w:r w:rsidRPr="009C3139">
        <w:rPr>
          <w:bCs/>
          <w:sz w:val="20"/>
        </w:rPr>
        <w:t>*</w:t>
      </w:r>
      <w:r w:rsidRPr="00B43FAE">
        <w:t xml:space="preserve"> </w:t>
      </w:r>
      <w:r w:rsidRPr="00B43FAE">
        <w:rPr>
          <w:bCs/>
          <w:sz w:val="20"/>
        </w:rPr>
        <w:t>заполняется Поставщиком после признания его победителем.</w:t>
      </w:r>
    </w:p>
    <w:p w:rsidR="006321AB" w:rsidRPr="00B13D9F" w:rsidRDefault="006321AB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4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BA" w:rsidRDefault="000117BA">
      <w:r>
        <w:separator/>
      </w:r>
    </w:p>
  </w:endnote>
  <w:endnote w:type="continuationSeparator" w:id="0">
    <w:p w:rsidR="000117BA" w:rsidRDefault="000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6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BA" w:rsidRDefault="000117BA">
      <w:r>
        <w:separator/>
      </w:r>
    </w:p>
  </w:footnote>
  <w:footnote w:type="continuationSeparator" w:id="0">
    <w:p w:rsidR="000117BA" w:rsidRDefault="000117BA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17BA"/>
    <w:rsid w:val="00015717"/>
    <w:rsid w:val="00016AE1"/>
    <w:rsid w:val="00036189"/>
    <w:rsid w:val="0003731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66BAF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32EF"/>
    <w:rsid w:val="00206460"/>
    <w:rsid w:val="00214E58"/>
    <w:rsid w:val="002152CF"/>
    <w:rsid w:val="002221B9"/>
    <w:rsid w:val="002351CF"/>
    <w:rsid w:val="00257AAB"/>
    <w:rsid w:val="00270C4B"/>
    <w:rsid w:val="00274F9E"/>
    <w:rsid w:val="00275432"/>
    <w:rsid w:val="00277C1E"/>
    <w:rsid w:val="00285D00"/>
    <w:rsid w:val="00293620"/>
    <w:rsid w:val="002A679C"/>
    <w:rsid w:val="002B351E"/>
    <w:rsid w:val="002D158E"/>
    <w:rsid w:val="002D2BC5"/>
    <w:rsid w:val="002D6DF7"/>
    <w:rsid w:val="002E1E85"/>
    <w:rsid w:val="002F0613"/>
    <w:rsid w:val="002F2A22"/>
    <w:rsid w:val="002F7B72"/>
    <w:rsid w:val="00310141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4513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E03D3"/>
    <w:rsid w:val="005E4C3B"/>
    <w:rsid w:val="005F223C"/>
    <w:rsid w:val="005F2C87"/>
    <w:rsid w:val="005F44E3"/>
    <w:rsid w:val="006104F7"/>
    <w:rsid w:val="0061383D"/>
    <w:rsid w:val="00613A36"/>
    <w:rsid w:val="006321AB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7196A"/>
    <w:rsid w:val="00885468"/>
    <w:rsid w:val="00894D93"/>
    <w:rsid w:val="008A2A6A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87B43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545C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B6A6F"/>
    <w:rsid w:val="00BC1C56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B4F2-9A1E-49C0-A96B-876C5A64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34270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41</cp:revision>
  <cp:lastPrinted>2018-04-19T13:52:00Z</cp:lastPrinted>
  <dcterms:created xsi:type="dcterms:W3CDTF">2019-04-09T08:24:00Z</dcterms:created>
  <dcterms:modified xsi:type="dcterms:W3CDTF">2021-06-22T06:58:00Z</dcterms:modified>
</cp:coreProperties>
</file>