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8E54DB" w:rsidRPr="008E54DB" w:rsidRDefault="005558C2" w:rsidP="008E54DB">
      <w:pPr>
        <w:pStyle w:val="a8"/>
        <w:spacing w:before="0" w:beforeAutospacing="0" w:after="0"/>
        <w:jc w:val="center"/>
        <w:rPr>
          <w:b/>
          <w:bCs/>
        </w:rPr>
      </w:pPr>
      <w:r w:rsidRPr="00021009">
        <w:rPr>
          <w:b/>
        </w:rPr>
        <w:t xml:space="preserve">на право заключения договора на </w:t>
      </w:r>
      <w:r w:rsidR="008E54DB">
        <w:rPr>
          <w:b/>
          <w:bCs/>
        </w:rPr>
        <w:t xml:space="preserve">поставку </w:t>
      </w:r>
      <w:r w:rsidR="00D51ECC" w:rsidRPr="00D51ECC">
        <w:rPr>
          <w:b/>
          <w:bCs/>
        </w:rPr>
        <w:t>комплектов для организации тематических занятий и театрализованных постановок, для формирования навыков безопасного поведения на дорогах и улицах, для сюжетно-ролевых игры, музыкальных инструментов и комплектов для познавательно-исследовательской и игровой деятельности, обеспечивающих возможность реализации образовательных требований ФГОС ДО</w:t>
      </w:r>
    </w:p>
    <w:p w:rsidR="00DF0A88" w:rsidRPr="00021009" w:rsidRDefault="00DF0A88" w:rsidP="00813DB0">
      <w:pPr>
        <w:pStyle w:val="a8"/>
        <w:shd w:val="clear" w:color="auto" w:fill="FFFFFF"/>
        <w:spacing w:before="0" w:beforeAutospacing="0" w:after="0" w:afterAutospacing="0"/>
        <w:jc w:val="center"/>
        <w:rPr>
          <w:b/>
        </w:rPr>
      </w:pP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1D1D6A" w:rsidRPr="005F5CE1">
        <w:rPr>
          <w:i/>
        </w:rPr>
        <w:t>муниципального автономного дошкольного образовательного учреждения детский сад комбинированного вида №7 «Радуга»</w:t>
      </w:r>
      <w:r w:rsidR="001D1D6A" w:rsidRPr="00BA1123">
        <w:rPr>
          <w:i/>
        </w:rPr>
        <w:t xml:space="preserve">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1D1D6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1D6A" w:rsidRPr="00021009" w:rsidRDefault="001D1D6A" w:rsidP="001D1D6A">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1D6A" w:rsidRPr="00021009" w:rsidRDefault="001D1D6A" w:rsidP="001D1D6A">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D1D6A" w:rsidRPr="00F37E8A" w:rsidRDefault="001D1D6A" w:rsidP="001D1D6A">
            <w:pPr>
              <w:spacing w:line="312" w:lineRule="auto"/>
              <w:ind w:right="137"/>
              <w:jc w:val="both"/>
            </w:pPr>
            <w:r w:rsidRPr="00F37E8A">
              <w:rPr>
                <w:color w:val="000000" w:themeColor="text1"/>
              </w:rPr>
              <w:t xml:space="preserve">Заказчик: </w:t>
            </w:r>
            <w:r w:rsidRPr="00F37E8A">
              <w:t>МАДОУ Д/с комбинированного вида №7 «Радуга»</w:t>
            </w:r>
          </w:p>
          <w:p w:rsidR="001D1D6A" w:rsidRPr="00F37E8A" w:rsidRDefault="001D1D6A" w:rsidP="001D1D6A">
            <w:pPr>
              <w:spacing w:line="312" w:lineRule="auto"/>
              <w:ind w:right="137"/>
              <w:jc w:val="both"/>
              <w:rPr>
                <w:color w:val="000000" w:themeColor="text1"/>
              </w:rPr>
            </w:pPr>
            <w:r w:rsidRPr="00F37E8A">
              <w:rPr>
                <w:color w:val="000000" w:themeColor="text1"/>
              </w:rPr>
              <w:t>Место нахождения:</w:t>
            </w:r>
            <w:r w:rsidRPr="00F37E8A">
              <w:rPr>
                <w:color w:val="000000"/>
              </w:rPr>
              <w:t>142800, Московская область, город Ступино, Садовая улица дом.8;</w:t>
            </w:r>
          </w:p>
          <w:p w:rsidR="001D1D6A" w:rsidRPr="00F37E8A" w:rsidRDefault="001D1D6A" w:rsidP="001D1D6A">
            <w:pPr>
              <w:spacing w:line="312" w:lineRule="auto"/>
              <w:ind w:right="137"/>
              <w:jc w:val="both"/>
              <w:rPr>
                <w:color w:val="000000" w:themeColor="text1"/>
              </w:rPr>
            </w:pPr>
            <w:r w:rsidRPr="00F37E8A">
              <w:rPr>
                <w:color w:val="000000" w:themeColor="text1"/>
              </w:rPr>
              <w:t xml:space="preserve">Почтовый адрес: </w:t>
            </w:r>
            <w:r w:rsidRPr="00F37E8A">
              <w:rPr>
                <w:color w:val="000000"/>
              </w:rPr>
              <w:t>142800, Московская область, город Ступино, Садовая улица дом.8;</w:t>
            </w:r>
          </w:p>
          <w:p w:rsidR="001D1D6A" w:rsidRPr="00F37E8A" w:rsidRDefault="001D1D6A" w:rsidP="001D1D6A">
            <w:pPr>
              <w:spacing w:line="312" w:lineRule="auto"/>
              <w:ind w:right="137"/>
              <w:jc w:val="both"/>
            </w:pPr>
            <w:r w:rsidRPr="00F37E8A">
              <w:rPr>
                <w:color w:val="000000" w:themeColor="text1"/>
              </w:rPr>
              <w:t>Электронная почта:</w:t>
            </w:r>
            <w:r w:rsidRPr="00F37E8A">
              <w:t xml:space="preserve"> </w:t>
            </w:r>
            <w:hyperlink r:id="rId8" w:history="1">
              <w:r w:rsidRPr="00F37E8A">
                <w:rPr>
                  <w:rStyle w:val="a5"/>
                  <w:u w:val="none"/>
                </w:rPr>
                <w:t>ds7raduga@mail.ru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37E8A" w:rsidRDefault="001D1D6A" w:rsidP="00432D0C">
            <w:pPr>
              <w:jc w:val="both"/>
              <w:rPr>
                <w:lang w:val="en-US"/>
              </w:rPr>
            </w:pPr>
            <w:r w:rsidRPr="00F37E8A">
              <w:rPr>
                <w:rStyle w:val="js-phone-number"/>
              </w:rPr>
              <w:t>8(496)64-2-78-12</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1D1D6A">
              <w:t>ООО «</w:t>
            </w:r>
            <w:r w:rsidRPr="00021009">
              <w:t>Единая система торговых процедур</w:t>
            </w:r>
            <w:r w:rsidR="001D1D6A">
              <w:t>»</w:t>
            </w:r>
            <w:r w:rsidRPr="00021009">
              <w:t>):</w:t>
            </w:r>
          </w:p>
          <w:p w:rsidR="0062729A" w:rsidRPr="00021009" w:rsidRDefault="00937534"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8E54DB" w:rsidP="00856004">
            <w:r w:rsidRPr="00F37E8A">
              <w:t>Средства бюджета городского округа Ступино</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D51ECC" w:rsidP="005D4C62">
            <w:pPr>
              <w:spacing w:line="0" w:lineRule="atLeast"/>
              <w:jc w:val="both"/>
              <w:rPr>
                <w:i/>
              </w:rPr>
            </w:pPr>
            <w:r>
              <w:t xml:space="preserve">Поставка комплектов для организации тематических занятий и театрализованных постановок, для формирования навыков безопасного поведения на дорогах и улицах, для сюжетно-ролевых игры, музыкальных инструментов и комплектов для познавательно-исследовательской и игровой деятельности, </w:t>
            </w:r>
            <w:r>
              <w:lastRenderedPageBreak/>
              <w:t>обеспечивающих возможность реализации образовательных требований ФГОС ДО</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lastRenderedPageBreak/>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1D1D6A" w:rsidP="005C2C66">
            <w:pPr>
              <w:jc w:val="both"/>
              <w:rPr>
                <w:highlight w:val="green"/>
              </w:rPr>
            </w:pPr>
            <w:r w:rsidRPr="00F37E8A">
              <w:rPr>
                <w:color w:val="000000"/>
              </w:rPr>
              <w:t>142800, Московская область, город Ступино, Садовая улица дом.8</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54DB" w:rsidRPr="001D1D6A" w:rsidRDefault="00D51ECC" w:rsidP="001D1D6A">
            <w:pPr>
              <w:rPr>
                <w:b/>
              </w:rPr>
            </w:pPr>
            <w:r w:rsidRPr="00F37E8A">
              <w:rPr>
                <w:rFonts w:eastAsia="Arial"/>
                <w:b/>
              </w:rPr>
              <w:t>302</w:t>
            </w:r>
            <w:r w:rsidR="008E54DB" w:rsidRPr="00F37E8A">
              <w:rPr>
                <w:rFonts w:eastAsia="Arial"/>
                <w:b/>
              </w:rPr>
              <w:t> </w:t>
            </w:r>
            <w:r w:rsidRPr="00F37E8A">
              <w:rPr>
                <w:rFonts w:eastAsia="Arial"/>
                <w:b/>
              </w:rPr>
              <w:t>830</w:t>
            </w:r>
            <w:r w:rsidR="008E54DB" w:rsidRPr="00F37E8A">
              <w:rPr>
                <w:rFonts w:eastAsia="Arial"/>
                <w:b/>
              </w:rPr>
              <w:t xml:space="preserve"> </w:t>
            </w:r>
            <w:r w:rsidR="008E54DB" w:rsidRPr="00F37E8A">
              <w:rPr>
                <w:rFonts w:eastAsia="Arial"/>
                <w:b/>
                <w:i/>
              </w:rPr>
              <w:t>(</w:t>
            </w:r>
            <w:r w:rsidR="001D1D6A" w:rsidRPr="00F37E8A">
              <w:rPr>
                <w:rFonts w:eastAsia="Arial"/>
                <w:b/>
                <w:i/>
              </w:rPr>
              <w:t xml:space="preserve">Триста </w:t>
            </w:r>
            <w:r w:rsidRPr="00F37E8A">
              <w:rPr>
                <w:rFonts w:eastAsia="Arial"/>
                <w:b/>
                <w:i/>
              </w:rPr>
              <w:t xml:space="preserve">две тысячи восемьсот </w:t>
            </w:r>
            <w:r w:rsidR="001D1D6A" w:rsidRPr="00F37E8A">
              <w:rPr>
                <w:rFonts w:eastAsia="Arial"/>
                <w:b/>
                <w:i/>
              </w:rPr>
              <w:t>тридцать)</w:t>
            </w:r>
            <w:r w:rsidR="001D1D6A" w:rsidRPr="00F37E8A">
              <w:rPr>
                <w:rFonts w:eastAsia="Arial"/>
                <w:b/>
              </w:rPr>
              <w:t xml:space="preserve"> рублей, 00</w:t>
            </w:r>
            <w:r w:rsidR="008E54DB" w:rsidRPr="00F37E8A">
              <w:rPr>
                <w:rFonts w:eastAsia="Arial"/>
                <w:b/>
              </w:rPr>
              <w:t xml:space="preserve"> копеек</w:t>
            </w:r>
            <w:r w:rsidR="001D1D6A" w:rsidRPr="00F37E8A">
              <w:rPr>
                <w:rFonts w:eastAsia="Arial"/>
                <w:b/>
              </w:rPr>
              <w:t>, в том числе НДС 20%.</w:t>
            </w:r>
          </w:p>
          <w:p w:rsidR="004C3CF6" w:rsidRPr="00021009" w:rsidRDefault="008E54DB" w:rsidP="008E54DB">
            <w:pPr>
              <w:jc w:val="both"/>
              <w:rPr>
                <w:b/>
                <w:i/>
              </w:rPr>
            </w:pPr>
            <w:r w:rsidRPr="00514EE7">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1D1D6A" w:rsidRDefault="001D1D6A" w:rsidP="001D1D6A">
            <w:pPr>
              <w:pStyle w:val="Standard"/>
              <w:jc w:val="both"/>
              <w:rPr>
                <w:sz w:val="24"/>
                <w:szCs w:val="24"/>
              </w:rPr>
            </w:pPr>
            <w:r w:rsidRPr="001D1D6A">
              <w:rPr>
                <w:rFonts w:ascii="Times New Roman" w:eastAsia="Times New Roman" w:hAnsi="Times New Roman" w:cs="Times New Roman"/>
                <w:color w:val="00000A"/>
                <w:sz w:val="24"/>
                <w:szCs w:val="24"/>
              </w:rPr>
              <w:t>Оплата товара</w:t>
            </w:r>
            <w:r w:rsidRPr="001D1D6A">
              <w:rPr>
                <w:rFonts w:ascii="Times New Roman" w:eastAsia="Times New Roman" w:hAnsi="Times New Roman" w:cs="Times New Roman"/>
                <w:color w:val="000000"/>
                <w:spacing w:val="4"/>
                <w:sz w:val="24"/>
                <w:szCs w:val="24"/>
              </w:rPr>
              <w:t xml:space="preserve"> производится </w:t>
            </w:r>
            <w:r w:rsidRPr="001D1D6A">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Pr="001D1D6A">
              <w:rPr>
                <w:rFonts w:ascii="Times New Roman" w:hAnsi="Times New Roman" w:cs="Times New Roman"/>
                <w:sz w:val="24"/>
                <w:szCs w:val="24"/>
              </w:rPr>
              <w:t>Акта приема-передачи товара</w:t>
            </w:r>
            <w:r w:rsidRPr="001D1D6A">
              <w:rPr>
                <w:rFonts w:ascii="Times New Roman" w:eastAsia="Times New Roman" w:hAnsi="Times New Roman" w:cs="Times New Roman"/>
                <w:color w:val="00000A"/>
                <w:sz w:val="24"/>
                <w:szCs w:val="24"/>
              </w:rPr>
              <w:t xml:space="preserve">, </w:t>
            </w:r>
            <w:r w:rsidRPr="001D1D6A">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1D1D6A">
              <w:rPr>
                <w:rFonts w:ascii="Times New Roman" w:eastAsia="Times New Roman" w:hAnsi="Times New Roman" w:cs="Times New Roman"/>
                <w:color w:val="00000A"/>
                <w:spacing w:val="1"/>
                <w:sz w:val="24"/>
                <w:szCs w:val="24"/>
              </w:rPr>
              <w:t xml:space="preserve">Поставщика </w:t>
            </w:r>
            <w:r w:rsidRPr="001D1D6A">
              <w:rPr>
                <w:rFonts w:ascii="Times New Roman" w:eastAsia="Times New Roman" w:hAnsi="Times New Roman" w:cs="Times New Roman"/>
                <w:color w:val="000000"/>
                <w:spacing w:val="1"/>
                <w:sz w:val="24"/>
                <w:szCs w:val="24"/>
              </w:rPr>
              <w:t>денежных средств в срок, не превышающий</w:t>
            </w:r>
            <w:r w:rsidRPr="001D1D6A">
              <w:rPr>
                <w:rFonts w:ascii="Times New Roman" w:hAnsi="Times New Roman" w:cs="Times New Roman"/>
                <w:kern w:val="0"/>
                <w:sz w:val="24"/>
                <w:szCs w:val="24"/>
              </w:rPr>
              <w:t xml:space="preserve"> 30 (тридцати) дней</w:t>
            </w:r>
            <w:r w:rsidRPr="001D1D6A">
              <w:rPr>
                <w:rFonts w:ascii="Times New Roman" w:eastAsia="Times New Roman" w:hAnsi="Times New Roman" w:cs="Times New Roman"/>
                <w:color w:val="000000"/>
                <w:spacing w:val="1"/>
                <w:sz w:val="24"/>
                <w:szCs w:val="24"/>
              </w:rPr>
              <w:t xml:space="preserve"> со дня подписания Заказчиком </w:t>
            </w:r>
            <w:r w:rsidRPr="001D1D6A">
              <w:rPr>
                <w:rFonts w:ascii="Times New Roman" w:hAnsi="Times New Roman" w:cs="Times New Roman"/>
                <w:sz w:val="24"/>
                <w:szCs w:val="24"/>
              </w:rPr>
              <w:t xml:space="preserve">Акта приема-передачи товара, с учетом положений пункта </w:t>
            </w:r>
            <w:r w:rsidRPr="001D1D6A">
              <w:rPr>
                <w:rFonts w:ascii="Times New Roman" w:hAnsi="Times New Roman" w:cs="Times New Roman"/>
                <w:color w:val="0000FF"/>
                <w:sz w:val="24"/>
                <w:szCs w:val="24"/>
              </w:rPr>
              <w:t xml:space="preserve">2.11 </w:t>
            </w:r>
            <w:r w:rsidRPr="001D1D6A">
              <w:rPr>
                <w:rFonts w:ascii="Times New Roman" w:hAnsi="Times New Roman" w:cs="Times New Roman"/>
                <w:sz w:val="24"/>
                <w:szCs w:val="24"/>
              </w:rPr>
              <w:t>Договора.</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D1D6A" w:rsidRDefault="00F37E8A" w:rsidP="001D1D6A">
            <w:pPr>
              <w:rPr>
                <w:highlight w:val="green"/>
              </w:rPr>
            </w:pPr>
            <w:r w:rsidRPr="00F37E8A">
              <w:t>«08» мая</w:t>
            </w:r>
            <w:r w:rsidR="008E54DB" w:rsidRPr="00F37E8A">
              <w:t xml:space="preserve"> 2020 г. С момента публикации на ЕИС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34511D" w:rsidRDefault="00BC2E31" w:rsidP="0034511D">
            <w:pPr>
              <w:rPr>
                <w:highlight w:val="green"/>
              </w:rPr>
            </w:pPr>
            <w:r w:rsidRPr="00F37E8A">
              <w:t>«</w:t>
            </w:r>
            <w:r w:rsidR="00F37E8A" w:rsidRPr="00F37E8A">
              <w:t>19</w:t>
            </w:r>
            <w:r w:rsidR="004D45D7" w:rsidRPr="00F37E8A">
              <w:t xml:space="preserve">» </w:t>
            </w:r>
            <w:r w:rsidR="0034511D" w:rsidRPr="00F37E8A">
              <w:t>мая</w:t>
            </w:r>
            <w:r w:rsidRPr="00F37E8A">
              <w:t xml:space="preserve"> 2020</w:t>
            </w:r>
            <w:r w:rsidR="004D45D7" w:rsidRPr="00F37E8A">
              <w:t xml:space="preserve"> г в </w:t>
            </w:r>
            <w:r w:rsidR="00F37E8A" w:rsidRPr="00F37E8A">
              <w:t>10</w:t>
            </w:r>
            <w:r w:rsidR="00C73D6F" w:rsidRPr="00F37E8A">
              <w:t>:</w:t>
            </w:r>
            <w:r w:rsidR="0034511D" w:rsidRPr="00F37E8A">
              <w:t>00</w:t>
            </w:r>
            <w:r w:rsidR="00C73D6F" w:rsidRPr="00F37E8A">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 xml:space="preserve">Место, день и время рассмотрения заявок на участие в запросе </w:t>
            </w:r>
            <w:r w:rsidRPr="00021009">
              <w:rPr>
                <w:b/>
              </w:rPr>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54DB" w:rsidRPr="00A87B19" w:rsidRDefault="008E54DB" w:rsidP="008E54DB">
            <w:pPr>
              <w:jc w:val="both"/>
            </w:pPr>
            <w:r w:rsidRPr="00A87B19">
              <w:lastRenderedPageBreak/>
              <w:t xml:space="preserve">Рассмотрение заявок на участие в запросе котировок в электронной форме состоится по адресу: </w:t>
            </w:r>
            <w:r w:rsidR="001D1D6A" w:rsidRPr="00E05683">
              <w:rPr>
                <w:color w:val="000000"/>
              </w:rPr>
              <w:t>142800, Московская обл</w:t>
            </w:r>
            <w:r w:rsidR="001D1D6A">
              <w:rPr>
                <w:color w:val="000000"/>
              </w:rPr>
              <w:t>асть</w:t>
            </w:r>
            <w:r w:rsidR="001D1D6A" w:rsidRPr="00E05683">
              <w:rPr>
                <w:color w:val="000000"/>
              </w:rPr>
              <w:t>,</w:t>
            </w:r>
            <w:r w:rsidR="001D1D6A">
              <w:rPr>
                <w:color w:val="000000"/>
              </w:rPr>
              <w:t xml:space="preserve"> город Ступино</w:t>
            </w:r>
            <w:r w:rsidR="001D1D6A" w:rsidRPr="00E05683">
              <w:rPr>
                <w:color w:val="000000"/>
              </w:rPr>
              <w:t xml:space="preserve">, </w:t>
            </w:r>
            <w:r w:rsidR="001D1D6A">
              <w:rPr>
                <w:color w:val="000000"/>
              </w:rPr>
              <w:t>Садовая</w:t>
            </w:r>
            <w:r w:rsidR="001D1D6A" w:rsidRPr="00E05683">
              <w:rPr>
                <w:color w:val="000000"/>
              </w:rPr>
              <w:t xml:space="preserve"> ул</w:t>
            </w:r>
            <w:r w:rsidR="001D1D6A">
              <w:rPr>
                <w:color w:val="000000"/>
              </w:rPr>
              <w:t>ица</w:t>
            </w:r>
            <w:r w:rsidR="001D1D6A" w:rsidRPr="00E05683">
              <w:rPr>
                <w:color w:val="000000"/>
              </w:rPr>
              <w:t xml:space="preserve"> </w:t>
            </w:r>
            <w:r w:rsidR="001D1D6A">
              <w:rPr>
                <w:color w:val="000000"/>
              </w:rPr>
              <w:t>дом</w:t>
            </w:r>
            <w:r w:rsidR="001D1D6A" w:rsidRPr="00E05683">
              <w:rPr>
                <w:color w:val="000000"/>
              </w:rPr>
              <w:t>.</w:t>
            </w:r>
            <w:r w:rsidR="001D1D6A">
              <w:rPr>
                <w:color w:val="000000"/>
              </w:rPr>
              <w:t>8.</w:t>
            </w:r>
          </w:p>
          <w:p w:rsidR="008E54DB" w:rsidRPr="001D1D6A" w:rsidRDefault="00F37E8A" w:rsidP="001D1D6A">
            <w:bookmarkStart w:id="25" w:name="_GoBack"/>
            <w:bookmarkEnd w:id="25"/>
            <w:r w:rsidRPr="00F37E8A">
              <w:lastRenderedPageBreak/>
              <w:t>«19</w:t>
            </w:r>
            <w:r w:rsidR="001D1D6A" w:rsidRPr="00F37E8A">
              <w:t>»</w:t>
            </w:r>
            <w:r w:rsidRPr="00F37E8A">
              <w:t xml:space="preserve"> мая 2020 г. в 10</w:t>
            </w:r>
            <w:r w:rsidR="001D1D6A" w:rsidRPr="00F37E8A">
              <w:t>:01</w:t>
            </w:r>
            <w:r w:rsidR="008E54DB" w:rsidRPr="00F37E8A">
              <w:t xml:space="preserve"> «время местное»</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1D1D6A" w:rsidRPr="001D1D6A">
              <w:rPr>
                <w:color w:val="0000FF"/>
              </w:rPr>
              <w:t>47</w:t>
            </w:r>
            <w:r w:rsidR="00BD371A" w:rsidRPr="00021009">
              <w:t xml:space="preserve"> и </w:t>
            </w:r>
            <w:r w:rsidR="00BD371A" w:rsidRPr="001D1D6A">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002A2BC2" w:rsidRPr="00021009">
              <w:rPr>
                <w:rFonts w:ascii="Times New Roman" w:hAnsi="Times New Roman" w:cs="Times New Roman"/>
                <w:i/>
                <w:sz w:val="24"/>
                <w:szCs w:val="24"/>
              </w:rPr>
              <w:lastRenderedPageBreak/>
              <w:t xml:space="preserve">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w:t>
            </w:r>
            <w:r w:rsidR="002A2BC2" w:rsidRPr="001D1D6A">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процентами голосующих акций хозяйственного общества либо долей, </w:t>
            </w:r>
            <w:r w:rsidR="002A2BC2" w:rsidRPr="00021009">
              <w:rPr>
                <w:rFonts w:ascii="Times New Roman" w:hAnsi="Times New Roman" w:cs="Times New Roman"/>
                <w:i/>
                <w:sz w:val="24"/>
                <w:szCs w:val="24"/>
              </w:rPr>
              <w:lastRenderedPageBreak/>
              <w:t xml:space="preserve">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w:t>
            </w:r>
            <w:r w:rsidRPr="00021009">
              <w:rPr>
                <w:rFonts w:ascii="Times New Roman" w:hAnsi="Times New Roman" w:cs="Times New Roman"/>
                <w:sz w:val="24"/>
                <w:szCs w:val="24"/>
              </w:rPr>
              <w:lastRenderedPageBreak/>
              <w:t xml:space="preserve">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w:t>
            </w:r>
            <w:r w:rsidRPr="001D1D6A">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1D1D6A">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lastRenderedPageBreak/>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lastRenderedPageBreak/>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1D1D6A">
              <w:rPr>
                <w:color w:val="FF0000"/>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1D1D6A">
              <w:rPr>
                <w:color w:val="FF0000"/>
                <w:u w:val="single"/>
                <w:vertAlign w:val="superscript"/>
              </w:rPr>
              <w:t>*</w:t>
            </w:r>
            <w:r w:rsidR="001D1D6A" w:rsidRPr="001D1D6A">
              <w:rPr>
                <w:color w:val="FF0000"/>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w:t>
            </w:r>
            <w:r w:rsidR="005B793D" w:rsidRPr="00021009">
              <w:lastRenderedPageBreak/>
              <w:t xml:space="preserve">(или)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w:t>
            </w:r>
            <w:r w:rsidR="001D27FB" w:rsidRPr="00021009">
              <w:lastRenderedPageBreak/>
              <w:t xml:space="preserve">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w:t>
            </w:r>
            <w:r w:rsidR="001D27FB" w:rsidRPr="00021009">
              <w:lastRenderedPageBreak/>
              <w:t>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1D1D6A" w:rsidP="00BE0D77">
            <w:pPr>
              <w:ind w:firstLine="21"/>
              <w:jc w:val="both"/>
            </w:pPr>
            <w:r>
              <w:rPr>
                <w:b/>
                <w:i/>
                <w:spacing w:val="-16"/>
              </w:rPr>
              <w:t>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w:t>
            </w:r>
            <w:r w:rsidRPr="00021009">
              <w:lastRenderedPageBreak/>
              <w:t>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1D1D6A">
            <w:r w:rsidRPr="00021009">
              <w:t>Приложение № 1. Форма котировочной заявки</w:t>
            </w:r>
          </w:p>
          <w:p w:rsidR="00970905" w:rsidRPr="00021009" w:rsidRDefault="00970905" w:rsidP="001D1D6A">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1D1D6A">
            <w:r w:rsidRPr="00021009">
              <w:t>Приложение № 3.</w:t>
            </w:r>
            <w:r w:rsidR="00DF27DD" w:rsidRPr="00021009">
              <w:t xml:space="preserve"> Запрос о разъяснении извещения</w:t>
            </w:r>
          </w:p>
          <w:p w:rsidR="001916D5" w:rsidRPr="00021009" w:rsidRDefault="001916D5" w:rsidP="001D1D6A">
            <w:r w:rsidRPr="00021009">
              <w:t>Приложение № 4. Форма декларации согласно 925 ПП РФ.</w:t>
            </w:r>
          </w:p>
          <w:p w:rsidR="00940E5C" w:rsidRPr="00021009" w:rsidRDefault="00940E5C" w:rsidP="001D1D6A">
            <w:r w:rsidRPr="00021009">
              <w:t>Приложение № 5. Проект договора</w:t>
            </w:r>
          </w:p>
          <w:p w:rsidR="00940E5C" w:rsidRPr="00021009" w:rsidRDefault="00940E5C" w:rsidP="001D1D6A">
            <w:r w:rsidRPr="00021009">
              <w:t>Приложение № 6. Техническое задание</w:t>
            </w:r>
          </w:p>
          <w:p w:rsidR="00970905" w:rsidRPr="00021009" w:rsidRDefault="00D65AD6" w:rsidP="001D1D6A">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w:t>
            </w:r>
            <w:r w:rsidR="00F46FD3" w:rsidRPr="00021009">
              <w:lastRenderedPageBreak/>
              <w:t xml:space="preserve">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D12A9B">
              <w:rPr>
                <w:spacing w:val="-1"/>
              </w:rPr>
              <w:t>осковской области</w:t>
            </w:r>
            <w:r w:rsidR="0034511D">
              <w:rPr>
                <w:spacing w:val="-1"/>
              </w:rPr>
              <w:t>-</w:t>
            </w:r>
            <w:r w:rsidR="00596508" w:rsidRPr="00021009">
              <w:rPr>
                <w:spacing w:val="-1"/>
              </w:rPr>
              <w:t>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w:t>
            </w:r>
            <w:r w:rsidRPr="00021009">
              <w:rPr>
                <w:spacing w:val="-1"/>
              </w:rPr>
              <w:lastRenderedPageBreak/>
              <w:t xml:space="preserve">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D12A9B" w:rsidRPr="00D12A9B">
        <w:rPr>
          <w:rFonts w:ascii="Times New Roman" w:hAnsi="Times New Roman" w:cs="Times New Roman"/>
          <w:sz w:val="24"/>
          <w:szCs w:val="24"/>
        </w:rPr>
        <w:t>МАДОУ Д/с комбинированного вида №7 «Радуга»</w:t>
      </w:r>
      <w:r w:rsidR="008E54DB">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w:t>
      </w:r>
      <w:r w:rsidRPr="00021009">
        <w:rPr>
          <w:rFonts w:ascii="Times New Roman" w:hAnsi="Times New Roman" w:cs="Times New Roman"/>
          <w:sz w:val="24"/>
          <w:szCs w:val="24"/>
        </w:rPr>
        <w:lastRenderedPageBreak/>
        <w:t>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D12A9B" w:rsidRPr="00D12A9B">
        <w:rPr>
          <w:rFonts w:ascii="Times New Roman" w:hAnsi="Times New Roman" w:cs="Times New Roman"/>
          <w:sz w:val="24"/>
          <w:szCs w:val="24"/>
        </w:rPr>
        <w:t>МАДОУ Д/с комбинированного вида №7 «Радуга»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w:t>
      </w:r>
      <w:r w:rsidRPr="00021009">
        <w:rPr>
          <w:rFonts w:ascii="Times New Roman" w:hAnsi="Times New Roman" w:cs="Times New Roman"/>
          <w:sz w:val="24"/>
          <w:szCs w:val="24"/>
        </w:rPr>
        <w:lastRenderedPageBreak/>
        <w:t xml:space="preserve">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D12A9B" w:rsidRPr="00D12A9B">
        <w:rPr>
          <w:rFonts w:ascii="Times New Roman" w:hAnsi="Times New Roman" w:cs="Times New Roman"/>
          <w:sz w:val="24"/>
          <w:szCs w:val="24"/>
        </w:rPr>
        <w:t>МАДОУ Д/с комбинированного вида №7 «Радуга»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D12A9B" w:rsidRPr="00D12A9B">
        <w:rPr>
          <w:rFonts w:ascii="Times New Roman" w:hAnsi="Times New Roman" w:cs="Times New Roman"/>
          <w:sz w:val="24"/>
          <w:szCs w:val="24"/>
        </w:rPr>
        <w:t>МАДОУ Д/с комбинированного вида №7 «Радуга»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lastRenderedPageBreak/>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D12A9B" w:rsidRPr="00D12A9B">
        <w:rPr>
          <w:rFonts w:ascii="Times New Roman" w:hAnsi="Times New Roman" w:cs="Times New Roman"/>
          <w:sz w:val="24"/>
          <w:szCs w:val="24"/>
        </w:rPr>
        <w:t>МАДОУ Д/с комбинированного вида №7 «Радуга»</w:t>
      </w:r>
      <w:r w:rsidR="008E54DB">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D12A9B" w:rsidRPr="00D12A9B">
        <w:rPr>
          <w:rFonts w:ascii="Times New Roman" w:hAnsi="Times New Roman" w:cs="Times New Roman"/>
          <w:sz w:val="24"/>
          <w:szCs w:val="24"/>
        </w:rPr>
        <w:t>МАДОУ Д/с комбинированного вида №7 «Радуга»</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00B55274"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00B55274" w:rsidRPr="00021009">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lastRenderedPageBreak/>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xml:space="preserve">.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w:t>
      </w:r>
      <w:r w:rsidRPr="00021009">
        <w:rPr>
          <w:i/>
          <w:sz w:val="20"/>
          <w:szCs w:val="20"/>
        </w:rPr>
        <w:lastRenderedPageBreak/>
        <w:t>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7C5639">
        <w:rPr>
          <w:color w:val="404040" w:themeColor="text1" w:themeTint="BF"/>
          <w:sz w:val="20"/>
          <w:szCs w:val="20"/>
        </w:rPr>
        <w:t xml:space="preserve">Данные по ценовому предложению, следует воспроизводить </w:t>
      </w:r>
      <w:r w:rsidR="00CF279E" w:rsidRPr="007C5639">
        <w:rPr>
          <w:color w:val="404040" w:themeColor="text1" w:themeTint="BF"/>
          <w:sz w:val="20"/>
          <w:szCs w:val="20"/>
        </w:rPr>
        <w:t xml:space="preserve">в отдельном поле, </w:t>
      </w:r>
      <w:r w:rsidRPr="007C5639">
        <w:rPr>
          <w:color w:val="404040" w:themeColor="text1" w:themeTint="BF"/>
          <w:sz w:val="20"/>
          <w:szCs w:val="20"/>
        </w:rPr>
        <w:t xml:space="preserve">при подаче </w:t>
      </w:r>
      <w:r w:rsidR="007C5639" w:rsidRPr="007C5639">
        <w:rPr>
          <w:color w:val="404040" w:themeColor="text1" w:themeTint="BF"/>
          <w:sz w:val="20"/>
          <w:szCs w:val="20"/>
        </w:rPr>
        <w:t>единой</w:t>
      </w:r>
      <w:r w:rsidR="00CF279E" w:rsidRPr="007C5639">
        <w:rPr>
          <w:color w:val="404040" w:themeColor="text1" w:themeTint="BF"/>
          <w:sz w:val="20"/>
          <w:szCs w:val="20"/>
        </w:rPr>
        <w:t xml:space="preserve"> </w:t>
      </w:r>
      <w:r w:rsidR="007C2717" w:rsidRPr="007C5639">
        <w:rPr>
          <w:color w:val="404040" w:themeColor="text1" w:themeTint="BF"/>
          <w:sz w:val="20"/>
          <w:szCs w:val="20"/>
        </w:rPr>
        <w:t xml:space="preserve">части </w:t>
      </w:r>
      <w:r w:rsidRPr="007C5639">
        <w:rPr>
          <w:color w:val="404040" w:themeColor="text1" w:themeTint="BF"/>
          <w:sz w:val="20"/>
          <w:szCs w:val="20"/>
        </w:rPr>
        <w:t>заявки на участие в запросе котировок в электронной форме</w:t>
      </w:r>
      <w:r w:rsidR="00CF279E" w:rsidRPr="007C5639">
        <w:rPr>
          <w:color w:val="404040" w:themeColor="text1" w:themeTint="BF"/>
          <w:sz w:val="20"/>
          <w:szCs w:val="20"/>
        </w:rPr>
        <w:t xml:space="preserve"> и прикреплять</w:t>
      </w:r>
      <w:r w:rsidR="007C2717" w:rsidRPr="007C5639">
        <w:rPr>
          <w:color w:val="404040" w:themeColor="text1" w:themeTint="BF"/>
          <w:sz w:val="20"/>
          <w:szCs w:val="20"/>
        </w:rPr>
        <w:t xml:space="preserve"> такое ценовое предложение</w:t>
      </w:r>
      <w:r w:rsidR="00CF279E" w:rsidRPr="007C5639">
        <w:rPr>
          <w:color w:val="404040" w:themeColor="text1" w:themeTint="BF"/>
          <w:sz w:val="20"/>
          <w:szCs w:val="20"/>
        </w:rPr>
        <w:t xml:space="preserve"> в 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021009">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940E5C">
      <w:pPr>
        <w:pStyle w:val="a3"/>
        <w:autoSpaceDE w:val="0"/>
        <w:ind w:left="5670"/>
        <w:jc w:val="right"/>
      </w:pPr>
      <w:r w:rsidRPr="00021009">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D12A9B" w:rsidRPr="00D12A9B">
        <w:rPr>
          <w:rFonts w:ascii="Times New Roman" w:hAnsi="Times New Roman" w:cs="Times New Roman"/>
          <w:sz w:val="24"/>
          <w:szCs w:val="24"/>
        </w:rPr>
        <w:t>МАДОУ Д/с комбинированного вида №7 «Радуга»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D12A9B" w:rsidRPr="00D12A9B">
        <w:rPr>
          <w:rFonts w:ascii="Times New Roman" w:hAnsi="Times New Roman" w:cs="Times New Roman"/>
          <w:sz w:val="24"/>
          <w:szCs w:val="24"/>
        </w:rPr>
        <w:t>МАДОУ Д/с комбинированного вида №7 «Радуга»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D12A9B" w:rsidRPr="00D12A9B">
        <w:rPr>
          <w:rFonts w:ascii="Times New Roman" w:hAnsi="Times New Roman" w:cs="Times New Roman"/>
          <w:sz w:val="24"/>
          <w:szCs w:val="24"/>
        </w:rPr>
        <w:t>МАДОУ Д/с комбинированного вида №7 «Радуга»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D12A9B" w:rsidRPr="00D12A9B">
        <w:rPr>
          <w:rFonts w:ascii="Times New Roman" w:hAnsi="Times New Roman" w:cs="Times New Roman"/>
          <w:sz w:val="24"/>
          <w:szCs w:val="24"/>
        </w:rPr>
        <w:t>МАДОУ Д/с комбинированного вида №7 «Радуга»</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4E7C8E" w:rsidRPr="00021009" w:rsidRDefault="004E7C8E" w:rsidP="004E7C8E">
      <w:pPr>
        <w:jc w:val="right"/>
        <w:rPr>
          <w:bCs/>
        </w:rPr>
      </w:pPr>
      <w:r w:rsidRPr="00021009">
        <w:rPr>
          <w:bCs/>
        </w:rPr>
        <w:t xml:space="preserve">Приложение №5 </w:t>
      </w:r>
    </w:p>
    <w:p w:rsidR="004E7C8E" w:rsidRPr="00021009" w:rsidRDefault="004E7C8E" w:rsidP="004E7C8E">
      <w:pPr>
        <w:jc w:val="right"/>
        <w:rPr>
          <w:bCs/>
        </w:rPr>
      </w:pPr>
      <w:r w:rsidRPr="00021009">
        <w:rPr>
          <w:bCs/>
        </w:rPr>
        <w:t>к договору от___________20__г. №______</w:t>
      </w:r>
    </w:p>
    <w:p w:rsidR="00184490" w:rsidRPr="00021009" w:rsidRDefault="00184490" w:rsidP="004E7C8E">
      <w:pPr>
        <w:tabs>
          <w:tab w:val="left" w:pos="9781"/>
        </w:tabs>
        <w:ind w:firstLine="709"/>
        <w:jc w:val="center"/>
        <w:rPr>
          <w:b/>
        </w:rPr>
      </w:pPr>
    </w:p>
    <w:p w:rsidR="004E7C8E" w:rsidRPr="00021009" w:rsidRDefault="004E7C8E" w:rsidP="004E7C8E">
      <w:pPr>
        <w:tabs>
          <w:tab w:val="left" w:pos="9781"/>
        </w:tabs>
        <w:ind w:firstLine="709"/>
        <w:jc w:val="center"/>
        <w:rPr>
          <w:b/>
        </w:rPr>
      </w:pPr>
      <w:r w:rsidRPr="00021009">
        <w:rPr>
          <w:b/>
        </w:rPr>
        <w:t>АНТИКОРРУПЦИОННАЯ ОГОВОРКА</w:t>
      </w:r>
    </w:p>
    <w:p w:rsidR="004E7C8E" w:rsidRPr="00021009" w:rsidRDefault="00D12A9B" w:rsidP="004E7C8E">
      <w:r w:rsidRPr="00D12A9B">
        <w:t>МАДОУ Д/с комбинированного вида №7 «Радуга»</w:t>
      </w:r>
      <w:r w:rsidR="004E7C8E" w:rsidRPr="00021009">
        <w:t xml:space="preserve">, ведет антикоррупционную политику и развивает не допускающую коррупционных проявлений культуру. </w:t>
      </w:r>
    </w:p>
    <w:p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rsidTr="00CC3D41">
        <w:tc>
          <w:tcPr>
            <w:tcW w:w="2615" w:type="pct"/>
          </w:tcPr>
          <w:p w:rsidR="004E7C8E" w:rsidRPr="00021009" w:rsidRDefault="004E7C8E" w:rsidP="00CC3D41">
            <w:pPr>
              <w:rPr>
                <w:noProof/>
              </w:rPr>
            </w:pPr>
          </w:p>
          <w:p w:rsidR="004E7C8E" w:rsidRPr="00021009" w:rsidRDefault="003C3071" w:rsidP="00CC3D41">
            <w:pPr>
              <w:rPr>
                <w:noProof/>
              </w:rPr>
            </w:pPr>
            <w:r w:rsidRPr="00021009">
              <w:rPr>
                <w:noProof/>
              </w:rPr>
              <w:t>Д</w:t>
            </w:r>
            <w:r w:rsidR="00E642F9">
              <w:rPr>
                <w:noProof/>
              </w:rPr>
              <w:t>олжность</w:t>
            </w:r>
          </w:p>
          <w:p w:rsidR="004E7C8E" w:rsidRPr="00021009" w:rsidRDefault="00E642F9" w:rsidP="00CC3D41">
            <w:pPr>
              <w:rPr>
                <w:noProof/>
              </w:rPr>
            </w:pPr>
            <w:r w:rsidRPr="00E642F9">
              <w:rPr>
                <w:i/>
              </w:rPr>
              <w:t>(наименование заказчика)</w:t>
            </w:r>
          </w:p>
          <w:p w:rsidR="004E7C8E" w:rsidRPr="00021009" w:rsidRDefault="004E7C8E" w:rsidP="00CC3D41">
            <w:pPr>
              <w:rPr>
                <w:noProof/>
              </w:rPr>
            </w:pPr>
            <w:r w:rsidRPr="00021009">
              <w:rPr>
                <w:noProof/>
              </w:rPr>
              <w:t xml:space="preserve">________________/ </w:t>
            </w:r>
            <w:r w:rsidR="003C3071" w:rsidRPr="00021009">
              <w:t>Е. В. Козырь</w:t>
            </w:r>
            <w:r w:rsidRPr="00021009">
              <w:rPr>
                <w:noProof/>
              </w:rPr>
              <w:t xml:space="preserve"> /</w:t>
            </w:r>
          </w:p>
          <w:p w:rsidR="004E7C8E" w:rsidRPr="00021009" w:rsidRDefault="004E7C8E" w:rsidP="00CC3D41">
            <w:pPr>
              <w:rPr>
                <w:noProof/>
              </w:rPr>
            </w:pPr>
          </w:p>
        </w:tc>
        <w:tc>
          <w:tcPr>
            <w:tcW w:w="2385" w:type="pct"/>
          </w:tcPr>
          <w:p w:rsidR="004E7C8E" w:rsidRPr="00021009" w:rsidRDefault="004E7C8E" w:rsidP="00CC3D41">
            <w:pPr>
              <w:rPr>
                <w:noProof/>
              </w:rPr>
            </w:pPr>
          </w:p>
          <w:p w:rsidR="004E7C8E" w:rsidRPr="00021009" w:rsidRDefault="004E7C8E" w:rsidP="00CC3D41">
            <w:pPr>
              <w:rPr>
                <w:noProof/>
              </w:rPr>
            </w:pPr>
          </w:p>
          <w:p w:rsidR="004E7C8E" w:rsidRPr="00021009" w:rsidRDefault="004E7C8E" w:rsidP="00CC3D41">
            <w:pPr>
              <w:rPr>
                <w:noProof/>
              </w:rPr>
            </w:pPr>
            <w:r w:rsidRPr="00021009">
              <w:rPr>
                <w:noProof/>
              </w:rPr>
              <w:t>_____________/                    /</w:t>
            </w:r>
          </w:p>
          <w:p w:rsidR="004E7C8E" w:rsidRPr="00021009" w:rsidRDefault="004E7C8E" w:rsidP="00CC3D41">
            <w:pPr>
              <w:rPr>
                <w:noProof/>
              </w:rPr>
            </w:pPr>
          </w:p>
        </w:tc>
      </w:tr>
      <w:tr w:rsidR="004E7C8E" w:rsidRPr="00021009" w:rsidTr="00CC3D41">
        <w:tc>
          <w:tcPr>
            <w:tcW w:w="261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c>
          <w:tcPr>
            <w:tcW w:w="238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r>
    </w:tbl>
    <w:p w:rsidR="004E7C8E" w:rsidRPr="00021009" w:rsidRDefault="004E7C8E" w:rsidP="00940E5C">
      <w:pPr>
        <w:jc w:val="right"/>
        <w:rPr>
          <w:sz w:val="26"/>
          <w:szCs w:val="26"/>
        </w:rPr>
      </w:pPr>
    </w:p>
    <w:p w:rsidR="004E7C8E" w:rsidRPr="00021009" w:rsidRDefault="004E7C8E" w:rsidP="00940E5C">
      <w:pPr>
        <w:jc w:val="right"/>
        <w:rPr>
          <w:sz w:val="26"/>
          <w:szCs w:val="26"/>
        </w:rPr>
      </w:pPr>
    </w:p>
    <w:p w:rsidR="004E7C8E" w:rsidRPr="00021009" w:rsidRDefault="004E7C8E"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1916D5">
      <w:pPr>
        <w:pStyle w:val="a3"/>
        <w:autoSpaceDE w:val="0"/>
        <w:ind w:left="5670"/>
        <w:jc w:val="right"/>
      </w:pPr>
      <w:r w:rsidRPr="00021009">
        <w:t>Приложение №6</w:t>
      </w:r>
    </w:p>
    <w:p w:rsidR="001916D5" w:rsidRPr="00021009" w:rsidRDefault="001916D5" w:rsidP="001916D5">
      <w:pPr>
        <w:pStyle w:val="a3"/>
        <w:autoSpaceDE w:val="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534" w:rsidRDefault="00937534" w:rsidP="00270664">
      <w:r>
        <w:separator/>
      </w:r>
    </w:p>
  </w:endnote>
  <w:endnote w:type="continuationSeparator" w:id="0">
    <w:p w:rsidR="00937534" w:rsidRDefault="00937534"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534" w:rsidRDefault="00937534" w:rsidP="00270664">
      <w:r>
        <w:separator/>
      </w:r>
    </w:p>
  </w:footnote>
  <w:footnote w:type="continuationSeparator" w:id="0">
    <w:p w:rsidR="00937534" w:rsidRDefault="00937534" w:rsidP="00270664">
      <w:r>
        <w:continuationSeparator/>
      </w:r>
    </w:p>
  </w:footnote>
  <w:footnote w:id="1">
    <w:p w:rsidR="008E54DB" w:rsidRPr="00C349BB" w:rsidRDefault="008E54DB"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1D6A"/>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5E4F"/>
    <w:rsid w:val="002A0428"/>
    <w:rsid w:val="002A2BC2"/>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65FE9"/>
    <w:rsid w:val="00476E2A"/>
    <w:rsid w:val="00481966"/>
    <w:rsid w:val="00482D1B"/>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2C8F"/>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4C62"/>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C2717"/>
    <w:rsid w:val="007C5639"/>
    <w:rsid w:val="007F191F"/>
    <w:rsid w:val="008117C2"/>
    <w:rsid w:val="00811F76"/>
    <w:rsid w:val="00813DB0"/>
    <w:rsid w:val="008172B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D125E"/>
    <w:rsid w:val="008D1FB4"/>
    <w:rsid w:val="008D2F40"/>
    <w:rsid w:val="008D5FB8"/>
    <w:rsid w:val="008D74E0"/>
    <w:rsid w:val="008E54DB"/>
    <w:rsid w:val="008E7CA9"/>
    <w:rsid w:val="008F09FC"/>
    <w:rsid w:val="009041B2"/>
    <w:rsid w:val="009144B6"/>
    <w:rsid w:val="00916C9B"/>
    <w:rsid w:val="00925EDA"/>
    <w:rsid w:val="009273D6"/>
    <w:rsid w:val="00931076"/>
    <w:rsid w:val="00933F60"/>
    <w:rsid w:val="00937534"/>
    <w:rsid w:val="00940E5C"/>
    <w:rsid w:val="009412BF"/>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603E4"/>
    <w:rsid w:val="00A61045"/>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2499"/>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6571"/>
    <w:rsid w:val="00C168FD"/>
    <w:rsid w:val="00C242D6"/>
    <w:rsid w:val="00C45DDE"/>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2A9B"/>
    <w:rsid w:val="00D13A14"/>
    <w:rsid w:val="00D13E1F"/>
    <w:rsid w:val="00D15C62"/>
    <w:rsid w:val="00D16835"/>
    <w:rsid w:val="00D24DBF"/>
    <w:rsid w:val="00D34695"/>
    <w:rsid w:val="00D518C8"/>
    <w:rsid w:val="00D51ECC"/>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37E8A"/>
    <w:rsid w:val="00F46FD3"/>
    <w:rsid w:val="00F50D94"/>
    <w:rsid w:val="00F50FCE"/>
    <w:rsid w:val="00F627B9"/>
    <w:rsid w:val="00F6440F"/>
    <w:rsid w:val="00F64A31"/>
    <w:rsid w:val="00F85D51"/>
    <w:rsid w:val="00F8654F"/>
    <w:rsid w:val="00F91479"/>
    <w:rsid w:val="00F97AF8"/>
    <w:rsid w:val="00FA07A7"/>
    <w:rsid w:val="00FA7EF9"/>
    <w:rsid w:val="00FB53B6"/>
    <w:rsid w:val="00FE0082"/>
    <w:rsid w:val="00FE0172"/>
    <w:rsid w:val="00FE27EA"/>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paragraph" w:customStyle="1" w:styleId="Standard">
    <w:name w:val="Standard"/>
    <w:rsid w:val="001D1D6A"/>
    <w:pPr>
      <w:widowControl w:val="0"/>
      <w:suppressAutoHyphens/>
      <w:autoSpaceDN w:val="0"/>
      <w:spacing w:after="0" w:line="240" w:lineRule="auto"/>
      <w:textAlignment w:val="baseline"/>
    </w:pPr>
    <w:rPr>
      <w:rFonts w:ascii="Arial" w:eastAsia="Calibri" w:hAnsi="Arial" w:cs="Arial"/>
      <w:kern w:val="3"/>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7raduga@mail.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C640-AB6A-4116-A91F-005C0CBA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14796</Words>
  <Characters>84340</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5</cp:revision>
  <cp:lastPrinted>2018-11-29T11:27:00Z</cp:lastPrinted>
  <dcterms:created xsi:type="dcterms:W3CDTF">2020-04-28T12:54:00Z</dcterms:created>
  <dcterms:modified xsi:type="dcterms:W3CDTF">2020-05-06T19:18:00Z</dcterms:modified>
</cp:coreProperties>
</file>