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160110-20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Закупка в 2020 году услуг по комплексной уборке помещений (клининговые услуги) в 1 полугодии 2021 года для нужд АУ МАУКиС "МаксимуМ".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1 408 546,24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Автономное учреждение Одинцовского городского округа Московской области «Муниципальное автономное учреждение культуры и спорта «МаксимуМ»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5032110460</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143026, Московская область, Одинцовский район, рабочий посёлок Новоивановское, улица Агрохимиков, дом 2, помещение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143026, Московская область, Одинцовский район, рабочий посёлок Новоивановское, улица Агрохимиков, дом 2, помещение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02.04.02.06</w:t>
                                    </w:r>
                                  </w:sdtContent>
                                </w:sdt>
                                <w:r w:rsidR="008C2287">
                                  <w:rPr>
                                    <w:b/>
                                  </w:rPr>
                                  <w:t xml:space="preserve"> / </w:t>
                                </w:r>
                                <w:sdt>
                                  <w:sdtPr>
                                    <w:alias w:val="Simple"/>
                                    <w:tag w:val="Simple"/>
                                    <w:id w:val="-850410948"/>
                                    <w:placeholder>
                                      <w:docPart w:val="11F44C7E28014503AADC46ED610A1DCA"/>
                                    </w:placeholder>
                                    <w:text/>
                                  </w:sdtPr>
                                  <w:sdtEndPr/>
                                  <w:sdtContent>
                                    <w:r w:rsidR="008C2287">
                                      <w:t>81.29.19.000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уборке помещений и прилегающей территории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Месяц</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клининговых услуг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уборке помещений и прилегающей территории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Месяц</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30.06.2021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клининговых услуг</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клининговых услуг)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клининговых услуг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клининговых услуг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клининговых услуг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клининговых услуг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клининговых услуг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ПЕНИ = СУММА х ДНИ х СТАВКА / 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ненадлежащее исполнение Заказчиком обязательств, предусмотренных в Договоре, за исключением просрочки исполнения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клининговых услуг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Пеня</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несвоевременного выполнения Исполнителем обязательств, предусмотренных в Договоре, Исполнитель обязуется выплатить Заказчику пени.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клининговых услуг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ПЕНИ = СУММА х ДНИ х СТАВКА / 300</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клининговых услуг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клининговых услуг</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3</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