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9D" w:rsidRDefault="003D079D" w:rsidP="003D079D">
      <w:pPr>
        <w:pStyle w:val="a6"/>
        <w:snapToGrid w:val="0"/>
        <w:ind w:left="360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Техническое задание</w:t>
      </w:r>
    </w:p>
    <w:p w:rsidR="003D079D" w:rsidRDefault="003D079D" w:rsidP="003D079D">
      <w:pPr>
        <w:pStyle w:val="a6"/>
        <w:snapToGrid w:val="0"/>
        <w:ind w:left="360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На оказание  услуг по сопровождению справочно-правовой системы</w:t>
      </w:r>
    </w:p>
    <w:p w:rsidR="003D079D" w:rsidRDefault="003D079D" w:rsidP="003D079D">
      <w:pPr>
        <w:pStyle w:val="a6"/>
        <w:snapToGrid w:val="0"/>
        <w:ind w:left="360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 Консультант Плюс </w:t>
      </w:r>
    </w:p>
    <w:p w:rsidR="002733BB" w:rsidRPr="006557F0" w:rsidRDefault="002733BB" w:rsidP="002733BB">
      <w:pPr>
        <w:ind w:firstLine="567"/>
        <w:jc w:val="center"/>
        <w:rPr>
          <w:rFonts w:ascii="Arial" w:hAnsi="Arial" w:cs="Arial"/>
          <w:sz w:val="22"/>
          <w:szCs w:val="22"/>
        </w:rPr>
      </w:pPr>
    </w:p>
    <w:p w:rsidR="002733BB" w:rsidRPr="006557F0" w:rsidRDefault="002733BB" w:rsidP="002733BB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W w:w="10635" w:type="dxa"/>
        <w:tblInd w:w="-746" w:type="dxa"/>
        <w:tblLayout w:type="fixed"/>
        <w:tblLook w:val="0000"/>
      </w:tblPr>
      <w:tblGrid>
        <w:gridCol w:w="3973"/>
        <w:gridCol w:w="6662"/>
      </w:tblGrid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3D079D" w:rsidP="00980D2D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Заказчик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BB" w:rsidRPr="006557F0" w:rsidRDefault="003D079D" w:rsidP="00980D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Акционерное Общество  «Жилсервис-Посад»</w:t>
            </w: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Предмет торгов 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Информационное сопровождение </w:t>
            </w:r>
            <w:r w:rsidR="006557F0" w:rsidRPr="006557F0">
              <w:rPr>
                <w:spacing w:val="2"/>
                <w:sz w:val="28"/>
                <w:szCs w:val="28"/>
              </w:rPr>
              <w:t>с использованием экземпляров справочно-правовой Системы «</w:t>
            </w:r>
            <w:proofErr w:type="spellStart"/>
            <w:r w:rsidR="006557F0" w:rsidRPr="006557F0">
              <w:rPr>
                <w:spacing w:val="2"/>
                <w:sz w:val="28"/>
                <w:szCs w:val="28"/>
              </w:rPr>
              <w:t>КонсультантПлюс</w:t>
            </w:r>
            <w:proofErr w:type="spellEnd"/>
            <w:r w:rsidR="006557F0" w:rsidRPr="006557F0">
              <w:rPr>
                <w:spacing w:val="2"/>
                <w:sz w:val="28"/>
                <w:szCs w:val="28"/>
              </w:rPr>
              <w:t>» на основе специального лицензионного программного обеспечения, обеспечивающего совместимость информационных услуг с установленными в АО "Жилсервис-Посад"</w:t>
            </w: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bookmarkStart w:id="0" w:name="_GoBack"/>
            <w:bookmarkEnd w:id="0"/>
            <w:r w:rsidRPr="006557F0">
              <w:rPr>
                <w:spacing w:val="2"/>
                <w:sz w:val="28"/>
                <w:szCs w:val="28"/>
              </w:rPr>
              <w:t>Краткие характеристики поставляемых товаров, выполняемых работ, оказываемых услуг.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услуги по сопровождению СПС </w:t>
            </w:r>
            <w:proofErr w:type="spellStart"/>
            <w:r w:rsidRPr="006557F0">
              <w:rPr>
                <w:spacing w:val="2"/>
                <w:sz w:val="28"/>
                <w:szCs w:val="28"/>
              </w:rPr>
              <w:t>КонсультантПлюс</w:t>
            </w:r>
            <w:proofErr w:type="spellEnd"/>
            <w:r w:rsidRPr="006557F0">
              <w:rPr>
                <w:spacing w:val="2"/>
                <w:sz w:val="28"/>
                <w:szCs w:val="28"/>
              </w:rPr>
              <w:t xml:space="preserve"> (техническая поддержка и консультационное обслуживание);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- услуги по обновлению информационных банков;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- результатом оказания услуг является бесперебойная работа банков системы </w:t>
            </w:r>
            <w:proofErr w:type="spellStart"/>
            <w:r w:rsidRPr="006557F0">
              <w:rPr>
                <w:spacing w:val="2"/>
                <w:sz w:val="28"/>
                <w:szCs w:val="28"/>
              </w:rPr>
              <w:t>КонсультантПлюс</w:t>
            </w:r>
            <w:proofErr w:type="spellEnd"/>
            <w:r w:rsidRPr="006557F0">
              <w:rPr>
                <w:spacing w:val="2"/>
                <w:sz w:val="28"/>
                <w:szCs w:val="28"/>
              </w:rPr>
              <w:t>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- Получение информации о текущем состоянии законодательства Российской Федерации в виде справочно-правовой системы «Консультант Плюс», являющейся совокупностью многофункциональной программы для ЭВМ и набора текстовой информации, формируемой из информационных банков Систем (разделов). 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Количество поставляемого товара, выполняемых работ, оказываемых услуг для каждой позиции и вида, номенклатуры или ассортимента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Приведены ниже.</w:t>
            </w: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Сопутствующие работы, услуги, перечень, сроки выполнения, требования к выполнению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предоставление персонального специалиста;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услуги по обеспечению справочно-правовой информацией, регулярная актуализация и пополнение информации в системе Консультант Плюс;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услуги по выезду специалиста (персонального </w:t>
            </w:r>
            <w:r w:rsidRPr="006557F0">
              <w:rPr>
                <w:spacing w:val="2"/>
                <w:sz w:val="28"/>
                <w:szCs w:val="28"/>
              </w:rPr>
              <w:lastRenderedPageBreak/>
              <w:t xml:space="preserve">менеджера) для </w:t>
            </w:r>
            <w:proofErr w:type="gramStart"/>
            <w:r w:rsidRPr="006557F0">
              <w:rPr>
                <w:spacing w:val="2"/>
                <w:sz w:val="28"/>
                <w:szCs w:val="28"/>
              </w:rPr>
              <w:t>контроля за</w:t>
            </w:r>
            <w:proofErr w:type="gramEnd"/>
            <w:r w:rsidRPr="006557F0">
              <w:rPr>
                <w:spacing w:val="2"/>
                <w:sz w:val="28"/>
                <w:szCs w:val="28"/>
              </w:rPr>
              <w:t xml:space="preserve"> работой  системы и проведения консультации по ее использованию один раз в неделю;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установка новых возможностей системы Консультант Плюс, по мере усовершенствования  программы;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услуги по переносу системы с одного компьютера на другой;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услуги по восстановлению системы при поломке компьютера</w:t>
            </w:r>
            <w:r w:rsidR="006557F0" w:rsidRPr="006557F0">
              <w:rPr>
                <w:spacing w:val="2"/>
                <w:sz w:val="28"/>
                <w:szCs w:val="28"/>
              </w:rPr>
              <w:t xml:space="preserve"> (в течение 48</w:t>
            </w:r>
            <w:r w:rsidRPr="006557F0">
              <w:rPr>
                <w:spacing w:val="2"/>
                <w:sz w:val="28"/>
                <w:szCs w:val="28"/>
              </w:rPr>
              <w:t xml:space="preserve"> часов с момента получения заявки);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услуги по предоставлению отдельных документов или подборке документов по интересующим вопросам;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консультирование по работе с системой Консультант Плюс, в т.ч. обучение работе с системой Консультант Плюс с возможностью получения специального сертификата об обучении;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ежемесячная доставка </w:t>
            </w:r>
            <w:proofErr w:type="gramStart"/>
            <w:r w:rsidRPr="006557F0">
              <w:rPr>
                <w:spacing w:val="2"/>
                <w:sz w:val="28"/>
                <w:szCs w:val="28"/>
              </w:rPr>
              <w:t>специального</w:t>
            </w:r>
            <w:proofErr w:type="gramEnd"/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издания «Бюллетень Консультант Плюс».</w:t>
            </w: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lastRenderedPageBreak/>
              <w:t>Общие требования к поставке товаров, выполнению работ, оказанию услуг, требования по объему гарантий качества, требования по сроку гарантий качества на результаты размещения заказа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Услуги по сопровождению (техническая поддержка и консультационное обслуживание) должны оказываться Исполнителем по телефону – незамедлительно, ежедневно по рабочим дням с 9:00 до 18:00, либо с выездом – в течение 1 рабочего дня с момента поступления Исполнителю информации о неполадках.</w:t>
            </w: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Требования к функциональным характеристикам товаров, требования к качественным характеристикам работ и услуг, в том числе подлежащих использованию при выполнении работ, оказании услуг.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Оказываемые услуги должны представлять возможность: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- качественного поиска документов, входящих в справочно-правовые базы «Заказчика»;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- осуществлять поиск документов, не вошедших в Системы </w:t>
            </w:r>
            <w:proofErr w:type="spellStart"/>
            <w:r w:rsidRPr="006557F0">
              <w:rPr>
                <w:spacing w:val="2"/>
                <w:sz w:val="28"/>
                <w:szCs w:val="28"/>
              </w:rPr>
              <w:t>КонсультантПлюс</w:t>
            </w:r>
            <w:proofErr w:type="spellEnd"/>
            <w:r w:rsidRPr="006557F0">
              <w:rPr>
                <w:spacing w:val="2"/>
                <w:sz w:val="28"/>
                <w:szCs w:val="28"/>
              </w:rPr>
              <w:t>, установленные у «Заказчика», с последующим предоставлением текстов необходимых документов при их наличии «Заказчику»;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- получения сотрудниками «Заказчика» консультаций по телефону, по месту нахождения «Заказчика» и «Исполнителя» по работе с экземплярами Систем;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- осуществлять подборку документов из Систем </w:t>
            </w:r>
            <w:r w:rsidRPr="006557F0">
              <w:rPr>
                <w:spacing w:val="2"/>
                <w:sz w:val="28"/>
                <w:szCs w:val="28"/>
              </w:rPr>
              <w:lastRenderedPageBreak/>
              <w:t>по отдельным вопросам;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- предоставление другой информации и материалов.</w:t>
            </w: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lastRenderedPageBreak/>
              <w:t>Требования соответствия нормативным документам (лицензии, допуски, разрешения, согласования).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- услуги должны соответствовать установленным стандартам и требованиям, предъявляемым к качеству и комплектности, стандартам, техническим условиям и иным требованиям, обычно предъявляемым к данному виду услуг;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-  предоставляемая информация должна быть достоверной, её достоверность должна  подтверждаться наличием прямых договоров с органами власти.</w:t>
            </w: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Сроки поставки товаров, выполнения работ, оказания услуг, календарные сроки начала и завершения поставок, периоды выполнения условий контракта.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BB" w:rsidRPr="006557F0" w:rsidRDefault="006557F0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С момента подписания Договора по 30.06.2021</w:t>
            </w:r>
            <w:r w:rsidR="002733BB" w:rsidRPr="006557F0">
              <w:rPr>
                <w:spacing w:val="2"/>
                <w:sz w:val="28"/>
                <w:szCs w:val="28"/>
              </w:rPr>
              <w:t>г.</w:t>
            </w: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>Порядок поставки товаров, выполнения работ, оказания услуг, этапы, последовательность, график, порядок поэтапной оплаты исполненных условий контракта.</w:t>
            </w:r>
          </w:p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BB" w:rsidRPr="006557F0" w:rsidRDefault="002733BB" w:rsidP="00980D2D">
            <w:pPr>
              <w:pStyle w:val="20"/>
              <w:spacing w:after="0" w:line="240" w:lineRule="auto"/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</w:pPr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Услуги по обновлению информационных банков должны оказываться Исполнителем </w:t>
            </w:r>
            <w:r w:rsidR="006557F0"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посредством сети Интернет либо при его отсутствии </w:t>
            </w:r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еженедельно путем личного визита в организацию, персонально закрепленного специалиста. </w:t>
            </w:r>
          </w:p>
          <w:p w:rsidR="002733BB" w:rsidRPr="006557F0" w:rsidRDefault="002733BB" w:rsidP="00980D2D">
            <w:pPr>
              <w:pStyle w:val="20"/>
              <w:spacing w:after="0" w:line="240" w:lineRule="auto"/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</w:pPr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Результатом оказания услуг является бесперебойная работа банков системы Консультант Плюс.</w:t>
            </w:r>
          </w:p>
          <w:p w:rsidR="002733BB" w:rsidRPr="006557F0" w:rsidRDefault="002733BB" w:rsidP="00980D2D">
            <w:pPr>
              <w:pStyle w:val="20"/>
              <w:spacing w:after="0" w:line="240" w:lineRule="auto"/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</w:pPr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В стоимость услуг должны быть включены все налоги, пошлины и сборы, предусмотренные законодательством РФ.</w:t>
            </w:r>
          </w:p>
        </w:tc>
      </w:tr>
      <w:tr w:rsidR="002733BB" w:rsidRPr="006557F0" w:rsidTr="003D079D">
        <w:trPr>
          <w:trHeight w:val="714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BB" w:rsidRPr="006557F0" w:rsidRDefault="002733BB" w:rsidP="00980D2D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pacing w:val="2"/>
                <w:sz w:val="28"/>
                <w:szCs w:val="28"/>
              </w:rPr>
              <w:t xml:space="preserve"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04C" w:rsidRPr="006557F0" w:rsidRDefault="00EC404C" w:rsidP="00980D2D">
            <w:pPr>
              <w:pStyle w:val="20"/>
              <w:spacing w:after="0" w:line="240" w:lineRule="auto"/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</w:pPr>
          </w:p>
          <w:p w:rsidR="00EC404C" w:rsidRPr="006557F0" w:rsidRDefault="00EC404C" w:rsidP="00980D2D">
            <w:pPr>
              <w:pStyle w:val="20"/>
              <w:spacing w:after="0" w:line="240" w:lineRule="auto"/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</w:pPr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1. СПС Консультант Универсал </w:t>
            </w:r>
            <w:proofErr w:type="spellStart"/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смарт-комплект</w:t>
            </w:r>
            <w:proofErr w:type="spellEnd"/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 Оптимальный, ОВМ-Ф </w:t>
            </w:r>
            <w:r w:rsidR="006557F0"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(1;2) </w:t>
            </w:r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содержит ИБ: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Российское законодательство (расширенная версия),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Решения госорганов по спорным ситуациям,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Московский выпуск (базовый</w:t>
            </w:r>
            <w:proofErr w:type="gramStart"/>
            <w:r w:rsidRPr="006557F0">
              <w:rPr>
                <w:rFonts w:ascii="Arial" w:hAnsi="Arial" w:cs="Arial"/>
              </w:rPr>
              <w:t xml:space="preserve"> -),</w:t>
            </w:r>
            <w:proofErr w:type="gramEnd"/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Московская область (</w:t>
            </w:r>
            <w:proofErr w:type="gramStart"/>
            <w:r w:rsidRPr="006557F0">
              <w:rPr>
                <w:rFonts w:ascii="Arial" w:hAnsi="Arial" w:cs="Arial"/>
              </w:rPr>
              <w:t>базовый</w:t>
            </w:r>
            <w:proofErr w:type="gramEnd"/>
            <w:r w:rsidRPr="006557F0">
              <w:rPr>
                <w:rFonts w:ascii="Arial" w:hAnsi="Arial" w:cs="Arial"/>
              </w:rPr>
              <w:t xml:space="preserve"> -),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Решения высших судов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Волго-Вятского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Арбитражный суд </w:t>
            </w:r>
            <w:proofErr w:type="spellStart"/>
            <w:r w:rsidRPr="006557F0">
              <w:rPr>
                <w:rFonts w:ascii="Arial" w:hAnsi="Arial" w:cs="Arial"/>
              </w:rPr>
              <w:t>Восточно-Сибирского</w:t>
            </w:r>
            <w:proofErr w:type="spellEnd"/>
            <w:r w:rsidRPr="006557F0">
              <w:rPr>
                <w:rFonts w:ascii="Arial" w:hAnsi="Arial" w:cs="Arial"/>
              </w:rPr>
              <w:t xml:space="preserve">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Дальневосточного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lastRenderedPageBreak/>
              <w:t xml:space="preserve">Арбитражный суд </w:t>
            </w:r>
            <w:proofErr w:type="spellStart"/>
            <w:r w:rsidRPr="006557F0">
              <w:rPr>
                <w:rFonts w:ascii="Arial" w:hAnsi="Arial" w:cs="Arial"/>
              </w:rPr>
              <w:t>Западно-Сибирского</w:t>
            </w:r>
            <w:proofErr w:type="spellEnd"/>
            <w:r w:rsidRPr="006557F0">
              <w:rPr>
                <w:rFonts w:ascii="Arial" w:hAnsi="Arial" w:cs="Arial"/>
              </w:rPr>
              <w:t xml:space="preserve">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Московского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Поволжского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Северо-Западного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Арбитражный суд </w:t>
            </w:r>
            <w:proofErr w:type="spellStart"/>
            <w:r w:rsidRPr="006557F0">
              <w:rPr>
                <w:rFonts w:ascii="Arial" w:hAnsi="Arial" w:cs="Arial"/>
              </w:rPr>
              <w:t>Северо-Кавказского</w:t>
            </w:r>
            <w:proofErr w:type="spellEnd"/>
            <w:r w:rsidRPr="006557F0">
              <w:rPr>
                <w:rFonts w:ascii="Arial" w:hAnsi="Arial" w:cs="Arial"/>
              </w:rPr>
              <w:t xml:space="preserve">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Уральского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Центрального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Правовые позиции высших судов,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Решения высших судов,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Суд по интеллектуальным правам,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Московского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налогам,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сделкам,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кадровым вопросам,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Разъясняющие письма органов власти,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Вопросы-ответы (</w:t>
            </w:r>
            <w:proofErr w:type="gramStart"/>
            <w:r w:rsidRPr="006557F0">
              <w:rPr>
                <w:rFonts w:ascii="Arial" w:hAnsi="Arial" w:cs="Arial"/>
              </w:rPr>
              <w:t>базовый</w:t>
            </w:r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Бухгалтерская пресса и книги (</w:t>
            </w:r>
            <w:proofErr w:type="gramStart"/>
            <w:r w:rsidRPr="006557F0">
              <w:rPr>
                <w:rFonts w:ascii="Arial" w:hAnsi="Arial" w:cs="Arial"/>
              </w:rPr>
              <w:t>базовый</w:t>
            </w:r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Корреспонденция счетов,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Постатейные комментарии и книги (</w:t>
            </w:r>
            <w:proofErr w:type="gramStart"/>
            <w:r w:rsidRPr="006557F0">
              <w:rPr>
                <w:rFonts w:ascii="Arial" w:hAnsi="Arial" w:cs="Arial"/>
              </w:rPr>
              <w:t>базовый</w:t>
            </w:r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Юридическая пресса (</w:t>
            </w:r>
            <w:proofErr w:type="gramStart"/>
            <w:r w:rsidRPr="006557F0">
              <w:rPr>
                <w:rFonts w:ascii="Arial" w:hAnsi="Arial" w:cs="Arial"/>
              </w:rPr>
              <w:t>базовый</w:t>
            </w:r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договорной работе,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судебной практике (ГК РФ),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корпоративным процедурам,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корпоративным спорам,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трудовым спорам,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Путеводитель по </w:t>
            </w:r>
            <w:proofErr w:type="spellStart"/>
            <w:r w:rsidRPr="006557F0">
              <w:rPr>
                <w:rFonts w:ascii="Arial" w:hAnsi="Arial" w:cs="Arial"/>
              </w:rPr>
              <w:t>госуслугам</w:t>
            </w:r>
            <w:proofErr w:type="spellEnd"/>
            <w:r w:rsidRPr="006557F0">
              <w:rPr>
                <w:rFonts w:ascii="Arial" w:hAnsi="Arial" w:cs="Arial"/>
              </w:rPr>
              <w:t xml:space="preserve"> для юридических лиц,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контрактной системе в сфере закупок,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спорам в сфере закупок,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Деловые бумаги (базовая версия),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Законопроекты (базовая версия),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Проекты нормативных правовых актов (базовая версия),</w:t>
            </w:r>
          </w:p>
          <w:p w:rsidR="00EC404C" w:rsidRPr="006557F0" w:rsidRDefault="006557F0" w:rsidP="00980D2D">
            <w:pPr>
              <w:pStyle w:val="20"/>
              <w:spacing w:after="0" w:line="240" w:lineRule="auto"/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</w:pPr>
            <w:r w:rsidRPr="006557F0">
              <w:rPr>
                <w:rFonts w:ascii="Arial" w:hAnsi="Arial" w:cs="Arial"/>
              </w:rPr>
              <w:t>Конструктор договоров (базовый).</w:t>
            </w:r>
          </w:p>
          <w:p w:rsidR="002733BB" w:rsidRPr="006557F0" w:rsidRDefault="00EC404C" w:rsidP="00980D2D">
            <w:pPr>
              <w:pStyle w:val="20"/>
              <w:spacing w:after="0" w:line="240" w:lineRule="auto"/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</w:pPr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2</w:t>
            </w:r>
            <w:r w:rsidR="002733BB"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. СПС Консультант </w:t>
            </w:r>
            <w:proofErr w:type="spellStart"/>
            <w:r w:rsidR="002733BB"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Пр</w:t>
            </w:r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емиум</w:t>
            </w:r>
            <w:proofErr w:type="spellEnd"/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смарт-комплект</w:t>
            </w:r>
            <w:proofErr w:type="spellEnd"/>
            <w:proofErr w:type="gramStart"/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П</w:t>
            </w:r>
            <w:proofErr w:type="gramEnd"/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роф</w:t>
            </w:r>
            <w:proofErr w:type="spellEnd"/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 +. ОВК-Ф</w:t>
            </w:r>
            <w:r w:rsidR="002733BB"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>.</w:t>
            </w:r>
          </w:p>
          <w:p w:rsidR="002733BB" w:rsidRPr="006557F0" w:rsidRDefault="002733BB" w:rsidP="00980D2D">
            <w:pPr>
              <w:pStyle w:val="20"/>
              <w:spacing w:after="0" w:line="240" w:lineRule="auto"/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</w:pPr>
            <w:r w:rsidRPr="006557F0">
              <w:rPr>
                <w:rFonts w:ascii="Arial" w:eastAsia="MS Mincho" w:hAnsi="Arial" w:cs="Arial"/>
                <w:spacing w:val="2"/>
                <w:kern w:val="1"/>
                <w:sz w:val="28"/>
                <w:szCs w:val="28"/>
                <w:lang w:eastAsia="ar-SA"/>
              </w:rPr>
              <w:t xml:space="preserve">Содержит ИБ: 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Российское законодательство (</w:t>
            </w:r>
            <w:proofErr w:type="spellStart"/>
            <w:proofErr w:type="gramStart"/>
            <w:r w:rsidRPr="006557F0">
              <w:rPr>
                <w:rFonts w:ascii="Arial" w:hAnsi="Arial" w:cs="Arial"/>
              </w:rPr>
              <w:t>Проф</w:t>
            </w:r>
            <w:proofErr w:type="spellEnd"/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Практика антимонопольной службы,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Решения госорганов по спорным ситуациям,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Московский выпуск (</w:t>
            </w:r>
            <w:proofErr w:type="spellStart"/>
            <w:proofErr w:type="gramStart"/>
            <w:r w:rsidRPr="006557F0">
              <w:rPr>
                <w:rFonts w:ascii="Arial" w:hAnsi="Arial" w:cs="Arial"/>
              </w:rPr>
              <w:t>Проф</w:t>
            </w:r>
            <w:proofErr w:type="spellEnd"/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Московская область (</w:t>
            </w:r>
            <w:proofErr w:type="gramStart"/>
            <w:r w:rsidRPr="006557F0">
              <w:rPr>
                <w:rFonts w:ascii="Arial" w:hAnsi="Arial" w:cs="Arial"/>
              </w:rPr>
              <w:t>базовый</w:t>
            </w:r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Эксперт-приложение (бюджетные организации),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lastRenderedPageBreak/>
              <w:t>Решения высших судов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Волго-Вятского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Арбитражный суд </w:t>
            </w:r>
            <w:proofErr w:type="spellStart"/>
            <w:r w:rsidRPr="006557F0">
              <w:rPr>
                <w:rFonts w:ascii="Arial" w:hAnsi="Arial" w:cs="Arial"/>
              </w:rPr>
              <w:t>Восточно-Сибирского</w:t>
            </w:r>
            <w:proofErr w:type="spellEnd"/>
            <w:r w:rsidRPr="006557F0">
              <w:rPr>
                <w:rFonts w:ascii="Arial" w:hAnsi="Arial" w:cs="Arial"/>
              </w:rPr>
              <w:t xml:space="preserve">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Дальневосточного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Арбитражный суд </w:t>
            </w:r>
            <w:proofErr w:type="spellStart"/>
            <w:r w:rsidRPr="006557F0">
              <w:rPr>
                <w:rFonts w:ascii="Arial" w:hAnsi="Arial" w:cs="Arial"/>
              </w:rPr>
              <w:t>Западно-Сибирского</w:t>
            </w:r>
            <w:proofErr w:type="spellEnd"/>
            <w:r w:rsidRPr="006557F0">
              <w:rPr>
                <w:rFonts w:ascii="Arial" w:hAnsi="Arial" w:cs="Arial"/>
              </w:rPr>
              <w:t xml:space="preserve">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Московского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Поволжского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Северо-Западного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Арбитражный суд </w:t>
            </w:r>
            <w:proofErr w:type="spellStart"/>
            <w:r w:rsidRPr="006557F0">
              <w:rPr>
                <w:rFonts w:ascii="Arial" w:hAnsi="Arial" w:cs="Arial"/>
              </w:rPr>
              <w:t>Северо-Кавказского</w:t>
            </w:r>
            <w:proofErr w:type="spellEnd"/>
            <w:r w:rsidRPr="006557F0">
              <w:rPr>
                <w:rFonts w:ascii="Arial" w:hAnsi="Arial" w:cs="Arial"/>
              </w:rPr>
              <w:t xml:space="preserve">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Уральского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Центрального округа (бухгалтер),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Правовые позиции высших судов,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Решения высших судов,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Суд по интеллектуальным правам,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Волго-Вятского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Арбитражный суд </w:t>
            </w:r>
            <w:proofErr w:type="spellStart"/>
            <w:r w:rsidRPr="006557F0">
              <w:rPr>
                <w:rFonts w:ascii="Arial" w:hAnsi="Arial" w:cs="Arial"/>
              </w:rPr>
              <w:t>Восточно-Сибирского</w:t>
            </w:r>
            <w:proofErr w:type="spellEnd"/>
            <w:r w:rsidRPr="006557F0">
              <w:rPr>
                <w:rFonts w:ascii="Arial" w:hAnsi="Arial" w:cs="Arial"/>
              </w:rPr>
              <w:t xml:space="preserve">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Дальневосточного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Арбитражный суд </w:t>
            </w:r>
            <w:proofErr w:type="spellStart"/>
            <w:r w:rsidRPr="006557F0">
              <w:rPr>
                <w:rFonts w:ascii="Arial" w:hAnsi="Arial" w:cs="Arial"/>
              </w:rPr>
              <w:t>Западно-Сибирского</w:t>
            </w:r>
            <w:proofErr w:type="spellEnd"/>
            <w:r w:rsidRPr="006557F0">
              <w:rPr>
                <w:rFonts w:ascii="Arial" w:hAnsi="Arial" w:cs="Arial"/>
              </w:rPr>
              <w:t xml:space="preserve">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Московского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Поволжского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Северо-Западного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Арбитражный суд </w:t>
            </w:r>
            <w:proofErr w:type="spellStart"/>
            <w:r w:rsidRPr="006557F0">
              <w:rPr>
                <w:rFonts w:ascii="Arial" w:hAnsi="Arial" w:cs="Arial"/>
              </w:rPr>
              <w:t>Северо-Кавказского</w:t>
            </w:r>
            <w:proofErr w:type="spellEnd"/>
            <w:r w:rsidRPr="006557F0">
              <w:rPr>
                <w:rFonts w:ascii="Arial" w:hAnsi="Arial" w:cs="Arial"/>
              </w:rPr>
              <w:t xml:space="preserve">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Уральского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Арбитражный суд Центрального округа,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1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2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3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4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5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6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7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8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9, 10 апелляционные суды,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11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12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13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14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15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16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17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lastRenderedPageBreak/>
              <w:t>18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19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20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21 апелляционный суд,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Решения арбитражных судов первой инстанции,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Суды общей юрисдикции (включая архив решений судов общей юрисдикции),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Подборки судебных решений,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налогам,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сделкам,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кадровым вопросам,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Разъясняющие письма органов власти,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Вопросы-ответы (</w:t>
            </w:r>
            <w:proofErr w:type="spellStart"/>
            <w:proofErr w:type="gramStart"/>
            <w:r w:rsidRPr="006557F0">
              <w:rPr>
                <w:rFonts w:ascii="Arial" w:hAnsi="Arial" w:cs="Arial"/>
              </w:rPr>
              <w:t>Проф</w:t>
            </w:r>
            <w:proofErr w:type="spellEnd"/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Бухгалтерская пресса и книги (</w:t>
            </w:r>
            <w:proofErr w:type="gramStart"/>
            <w:r w:rsidRPr="006557F0">
              <w:rPr>
                <w:rFonts w:ascii="Arial" w:hAnsi="Arial" w:cs="Arial"/>
              </w:rPr>
              <w:t>базовый</w:t>
            </w:r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Корреспонденция счетов,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Постатейные комментарии и книги (</w:t>
            </w:r>
            <w:proofErr w:type="gramStart"/>
            <w:r w:rsidRPr="006557F0">
              <w:rPr>
                <w:rFonts w:ascii="Arial" w:hAnsi="Arial" w:cs="Arial"/>
              </w:rPr>
              <w:t>базовый</w:t>
            </w:r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Юридическая пресса (</w:t>
            </w:r>
            <w:proofErr w:type="gramStart"/>
            <w:r w:rsidRPr="006557F0">
              <w:rPr>
                <w:rFonts w:ascii="Arial" w:hAnsi="Arial" w:cs="Arial"/>
              </w:rPr>
              <w:t>базовый</w:t>
            </w:r>
            <w:proofErr w:type="gramEnd"/>
            <w:r w:rsidRPr="006557F0">
              <w:rPr>
                <w:rFonts w:ascii="Arial" w:hAnsi="Arial" w:cs="Arial"/>
              </w:rPr>
              <w:t>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договорной работе,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судебной практике (ГК РФ),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корпоративным процедурам,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корпоративным спорам,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трудовым спорам,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 xml:space="preserve">Путеводитель по </w:t>
            </w:r>
            <w:proofErr w:type="spellStart"/>
            <w:r w:rsidRPr="006557F0">
              <w:rPr>
                <w:rFonts w:ascii="Arial" w:hAnsi="Arial" w:cs="Arial"/>
              </w:rPr>
              <w:t>госуслугам</w:t>
            </w:r>
            <w:proofErr w:type="spellEnd"/>
            <w:r w:rsidRPr="006557F0">
              <w:rPr>
                <w:rFonts w:ascii="Arial" w:hAnsi="Arial" w:cs="Arial"/>
              </w:rPr>
              <w:t xml:space="preserve"> для юридических лиц,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контрактной системе в сфере закупок,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Путеводитель по спорам в сфере закупок,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Деловые бумаги,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Законопроекты,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Проекты нормативных правовых актов,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Конструктор договоров (базовый),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Архив решений ФАС и УФАС,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Архив определений арбитражных судов,</w:t>
            </w:r>
          </w:p>
          <w:p w:rsidR="006557F0" w:rsidRPr="006557F0" w:rsidRDefault="006557F0" w:rsidP="006557F0">
            <w:pPr>
              <w:spacing w:before="60" w:after="60"/>
              <w:rPr>
                <w:rFonts w:ascii="Arial" w:hAnsi="Arial" w:cs="Arial"/>
                <w:b/>
                <w:color w:val="E36C0A" w:themeColor="accent6" w:themeShade="BF"/>
              </w:rPr>
            </w:pPr>
            <w:r w:rsidRPr="006557F0">
              <w:rPr>
                <w:rFonts w:ascii="Arial" w:hAnsi="Arial" w:cs="Arial"/>
              </w:rPr>
              <w:t>Архив решений мировых судей,</w:t>
            </w:r>
          </w:p>
          <w:p w:rsidR="002733BB" w:rsidRPr="006557F0" w:rsidRDefault="006557F0" w:rsidP="006557F0">
            <w:pPr>
              <w:pStyle w:val="Aosntext"/>
              <w:tabs>
                <w:tab w:val="clear" w:pos="794"/>
                <w:tab w:val="left" w:pos="1290"/>
              </w:tabs>
              <w:spacing w:after="0" w:line="240" w:lineRule="auto"/>
              <w:ind w:firstLine="0"/>
              <w:rPr>
                <w:spacing w:val="2"/>
                <w:sz w:val="28"/>
                <w:szCs w:val="28"/>
              </w:rPr>
            </w:pPr>
            <w:r w:rsidRPr="006557F0">
              <w:rPr>
                <w:sz w:val="24"/>
                <w:szCs w:val="24"/>
              </w:rPr>
              <w:t>Архив документов муниципальных образований субъектов РФ.</w:t>
            </w:r>
          </w:p>
        </w:tc>
      </w:tr>
    </w:tbl>
    <w:p w:rsidR="00711BC5" w:rsidRPr="006557F0" w:rsidRDefault="00711BC5">
      <w:pPr>
        <w:rPr>
          <w:rFonts w:ascii="Arial" w:eastAsia="MS Mincho" w:hAnsi="Arial" w:cs="Arial"/>
          <w:spacing w:val="2"/>
          <w:kern w:val="1"/>
          <w:sz w:val="28"/>
          <w:szCs w:val="28"/>
          <w:lang w:eastAsia="ar-SA"/>
        </w:rPr>
      </w:pPr>
    </w:p>
    <w:p w:rsidR="006557F0" w:rsidRPr="006557F0" w:rsidRDefault="006557F0">
      <w:pPr>
        <w:rPr>
          <w:rFonts w:ascii="Arial" w:eastAsia="MS Mincho" w:hAnsi="Arial" w:cs="Arial"/>
          <w:spacing w:val="2"/>
          <w:kern w:val="1"/>
          <w:sz w:val="28"/>
          <w:szCs w:val="28"/>
          <w:lang w:eastAsia="ar-SA"/>
        </w:rPr>
      </w:pPr>
    </w:p>
    <w:sectPr w:rsidR="006557F0" w:rsidRPr="006557F0" w:rsidSect="0071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33D11"/>
    <w:multiLevelType w:val="hybridMultilevel"/>
    <w:tmpl w:val="830CD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33BB"/>
    <w:rsid w:val="000014B9"/>
    <w:rsid w:val="000D341D"/>
    <w:rsid w:val="001D71C9"/>
    <w:rsid w:val="002733BB"/>
    <w:rsid w:val="002B711F"/>
    <w:rsid w:val="00315CB1"/>
    <w:rsid w:val="003D079D"/>
    <w:rsid w:val="006557F0"/>
    <w:rsid w:val="00711BC5"/>
    <w:rsid w:val="007273EE"/>
    <w:rsid w:val="00925EDE"/>
    <w:rsid w:val="00981ECE"/>
    <w:rsid w:val="00B23079"/>
    <w:rsid w:val="00B63F9C"/>
    <w:rsid w:val="00CB2C70"/>
    <w:rsid w:val="00EC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rsid w:val="002733BB"/>
    <w:rPr>
      <w:sz w:val="24"/>
      <w:szCs w:val="24"/>
    </w:rPr>
  </w:style>
  <w:style w:type="paragraph" w:styleId="20">
    <w:name w:val="Body Text 2"/>
    <w:basedOn w:val="a"/>
    <w:link w:val="2"/>
    <w:rsid w:val="002733BB"/>
    <w:pPr>
      <w:suppressAutoHyphens w:val="0"/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2733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osntext">
    <w:name w:val="A_osn_text"/>
    <w:basedOn w:val="a"/>
    <w:rsid w:val="002733BB"/>
    <w:pPr>
      <w:tabs>
        <w:tab w:val="left" w:pos="794"/>
      </w:tabs>
      <w:autoSpaceDE w:val="0"/>
      <w:spacing w:after="60" w:line="192" w:lineRule="exact"/>
      <w:ind w:firstLine="340"/>
      <w:jc w:val="both"/>
    </w:pPr>
    <w:rPr>
      <w:rFonts w:ascii="Arial" w:eastAsia="MS Mincho" w:hAnsi="Arial" w:cs="Arial"/>
      <w:kern w:val="1"/>
      <w:sz w:val="18"/>
      <w:szCs w:val="20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6557F0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6557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Абзац списка Знак"/>
    <w:link w:val="a6"/>
    <w:locked/>
    <w:rsid w:val="003D079D"/>
  </w:style>
  <w:style w:type="paragraph" w:styleId="a6">
    <w:name w:val="List Paragraph"/>
    <w:basedOn w:val="a"/>
    <w:link w:val="a5"/>
    <w:qFormat/>
    <w:rsid w:val="003D079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1383</Words>
  <Characters>7885</Characters>
  <Application>Microsoft Office Word</Application>
  <DocSecurity>0</DocSecurity>
  <Lines>65</Lines>
  <Paragraphs>18</Paragraphs>
  <ScaleCrop>false</ScaleCrop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e.potapova</dc:creator>
  <cp:lastModifiedBy>poberejnaya.e</cp:lastModifiedBy>
  <cp:revision>3</cp:revision>
  <dcterms:created xsi:type="dcterms:W3CDTF">2020-07-02T11:34:00Z</dcterms:created>
  <dcterms:modified xsi:type="dcterms:W3CDTF">2020-07-02T11:43:00Z</dcterms:modified>
</cp:coreProperties>
</file>