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01.22.02.16.08.01.26.07.01</w:t>
            </w:r>
            <w:r w:rsidR="00B924CB">
              <w:rPr>
                <w:b/>
              </w:rPr>
              <w:t xml:space="preserve"> / </w:t>
            </w:r>
            <w:r w:rsidR="00B924CB">
              <w:t>32.50.23.114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Ножка эндопротеза бедренной кости с "пресс-фит" фиксацией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01.21.01.10.15.101</w:t>
            </w:r>
            <w:r w:rsidR="00B924CB">
              <w:rPr>
                <w:b/>
              </w:rPr>
              <w:t xml:space="preserve"> / </w:t>
            </w:r>
            <w:r w:rsidR="00B924CB">
              <w:t>32.50.22.110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Эндопротез коленного сустава двухкомпонентный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01.21.01.10.15.157</w:t>
            </w:r>
            <w:r w:rsidR="00B924CB">
              <w:rPr>
                <w:b/>
              </w:rPr>
              <w:t xml:space="preserve"> / </w:t>
            </w:r>
            <w:r w:rsidR="00B924CB">
              <w:t>32.50.22.110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Эндопротез тазобедренного сустава типа металл-металл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01.21.01.10.15.158</w:t>
            </w:r>
            <w:r w:rsidR="00B924CB">
              <w:rPr>
                <w:b/>
              </w:rPr>
              <w:t xml:space="preserve"> / </w:t>
            </w:r>
            <w:r w:rsidR="00B924CB">
              <w:t>32.50.22.110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Эндопротез тазобедренного сустава типа металл-полиэтилен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комплектов эндопротезов</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Ножка эндопротеза бедренной кости с "пресс-фит" фиксацией</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Эндопротез коленного сустава двухкомпонентный</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Эндопротез тазобедренного сустава типа металл-металл</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Эндопротез тазобедренного сустава типа металл-полиэтилен</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комплектов эндопротезов</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комплектов эндопротезов)</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 Дубна, ул. Карла Маркса, д. 30</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комплектов эндопротезов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комплектов эндопротезов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комплектов эндопротезов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комплектов эндопротезов</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комплектов эндопротезов</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128588-21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